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963fb" w14:textId="c5963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ratification of the Convention concerning on equal remuneration for men and women workers for work of equal value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14 December 2000</w:t>
      </w:r>
    </w:p>
    <w:p>
      <w:pPr>
        <w:spacing w:after="0"/>
        <w:ind w:left="0"/>
        <w:jc w:val="both"/>
      </w:pPr>
      <w:bookmarkStart w:name="z1" w:id="0"/>
      <w:r>
        <w:rPr>
          <w:rFonts w:ascii="Times New Roman"/>
          <w:b w:val="false"/>
          <w:i w:val="false"/>
          <w:color w:val="000000"/>
          <w:sz w:val="28"/>
        </w:rPr>
        <w:t xml:space="preserve">
      To ratify the Convention concerning on equal remuneration for men and women workers for work of equal value (Convention № 100), adopted on the 34-th session of General conference of the International Labor Organization in Geneva, 29 June 1951 года.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President </w:t>
      </w:r>
      <w:r>
        <w:br/>
      </w:r>
      <w:r>
        <w:rPr>
          <w:rFonts w:ascii="Times New Roman"/>
          <w:b w:val="false"/>
          <w:i w:val="false"/>
          <w:color w:val="000000"/>
          <w:sz w:val="28"/>
        </w:rPr>
        <w:t>
</w:t>
      </w:r>
      <w:r>
        <w:rPr>
          <w:rFonts w:ascii="Times New Roman"/>
          <w:b w:val="false"/>
          <w:i/>
          <w:color w:val="000000"/>
          <w:sz w:val="28"/>
        </w:rPr>
        <w:t>      of the Republic of Kazakhstan              N. NAZARBAYEV</w:t>
      </w:r>
    </w:p>
    <w:bookmarkStart w:name="z2" w:id="1"/>
    <w:p>
      <w:pPr>
        <w:spacing w:after="0"/>
        <w:ind w:left="0"/>
        <w:jc w:val="left"/>
      </w:pPr>
      <w:r>
        <w:rPr>
          <w:rFonts w:ascii="Times New Roman"/>
          <w:b/>
          <w:i w:val="false"/>
          <w:color w:val="000000"/>
        </w:rPr>
        <w:t xml:space="preserve"> 
Convention №100 of the International Labour Organisation concerning on equal remuneration for men and women workers for work of equal value</w:t>
      </w:r>
    </w:p>
    <w:bookmarkEnd w:id="1"/>
    <w:bookmarkStart w:name="z3" w:id="2"/>
    <w:p>
      <w:pPr>
        <w:spacing w:after="0"/>
        <w:ind w:left="0"/>
        <w:jc w:val="left"/>
      </w:pPr>
      <w:r>
        <w:rPr>
          <w:rFonts w:ascii="Times New Roman"/>
          <w:b/>
          <w:i w:val="false"/>
          <w:color w:val="000000"/>
        </w:rPr>
        <w:t xml:space="preserve"> 
(Geneva, 6 June 1951)</w:t>
      </w:r>
    </w:p>
    <w:bookmarkEnd w:id="2"/>
    <w:bookmarkStart w:name="z4" w:id="3"/>
    <w:p>
      <w:pPr>
        <w:spacing w:after="0"/>
        <w:ind w:left="0"/>
        <w:jc w:val="left"/>
      </w:pPr>
      <w:r>
        <w:rPr>
          <w:rFonts w:ascii="Times New Roman"/>
          <w:b/>
          <w:i w:val="false"/>
          <w:color w:val="000000"/>
        </w:rPr>
        <w:t xml:space="preserve"> 
Preamble </w:t>
      </w:r>
    </w:p>
    <w:bookmarkEnd w:id="3"/>
    <w:bookmarkStart w:name="z5" w:id="4"/>
    <w:p>
      <w:pPr>
        <w:spacing w:after="0"/>
        <w:ind w:left="0"/>
        <w:jc w:val="both"/>
      </w:pPr>
      <w:r>
        <w:rPr>
          <w:rFonts w:ascii="Times New Roman"/>
          <w:b w:val="false"/>
          <w:i w:val="false"/>
          <w:color w:val="000000"/>
          <w:sz w:val="28"/>
        </w:rPr>
        <w:t>
      The General Conference of the International Labour Organisation,</w:t>
      </w:r>
      <w:r>
        <w:br/>
      </w:r>
      <w:r>
        <w:rPr>
          <w:rFonts w:ascii="Times New Roman"/>
          <w:b w:val="false"/>
          <w:i w:val="false"/>
          <w:color w:val="000000"/>
          <w:sz w:val="28"/>
        </w:rPr>
        <w:t>
</w:t>
      </w:r>
      <w:r>
        <w:rPr>
          <w:rFonts w:ascii="Times New Roman"/>
          <w:b w:val="false"/>
          <w:i w:val="false"/>
          <w:color w:val="000000"/>
          <w:sz w:val="28"/>
        </w:rPr>
        <w:t>
      Having been convened at Geneva by the Governing Body of the International Labour Office, and having met in its Thirty-fourth Session on 6 June 1951, and</w:t>
      </w:r>
      <w:r>
        <w:br/>
      </w:r>
      <w:r>
        <w:rPr>
          <w:rFonts w:ascii="Times New Roman"/>
          <w:b w:val="false"/>
          <w:i w:val="false"/>
          <w:color w:val="000000"/>
          <w:sz w:val="28"/>
        </w:rPr>
        <w:t>
</w:t>
      </w:r>
      <w:r>
        <w:rPr>
          <w:rFonts w:ascii="Times New Roman"/>
          <w:b w:val="false"/>
          <w:i w:val="false"/>
          <w:color w:val="000000"/>
          <w:sz w:val="28"/>
        </w:rPr>
        <w:t>
      Having decided upon the adoption of certain proposals with regard to the principle of equal remuneration for men and women workers for work of equal value, which is the seventh item on the agenda of the session, and</w:t>
      </w:r>
      <w:r>
        <w:br/>
      </w:r>
      <w:r>
        <w:rPr>
          <w:rFonts w:ascii="Times New Roman"/>
          <w:b w:val="false"/>
          <w:i w:val="false"/>
          <w:color w:val="000000"/>
          <w:sz w:val="28"/>
        </w:rPr>
        <w:t>
</w:t>
      </w:r>
      <w:r>
        <w:rPr>
          <w:rFonts w:ascii="Times New Roman"/>
          <w:b w:val="false"/>
          <w:i w:val="false"/>
          <w:color w:val="000000"/>
          <w:sz w:val="28"/>
        </w:rPr>
        <w:t>
      Having determined that these proposals shall take the form of an international Convention,</w:t>
      </w:r>
      <w:r>
        <w:br/>
      </w:r>
      <w:r>
        <w:rPr>
          <w:rFonts w:ascii="Times New Roman"/>
          <w:b w:val="false"/>
          <w:i w:val="false"/>
          <w:color w:val="000000"/>
          <w:sz w:val="28"/>
        </w:rPr>
        <w:t>
</w:t>
      </w:r>
      <w:r>
        <w:rPr>
          <w:rFonts w:ascii="Times New Roman"/>
          <w:b w:val="false"/>
          <w:i w:val="false"/>
          <w:color w:val="000000"/>
          <w:sz w:val="28"/>
        </w:rPr>
        <w:t>
      adopts this twenty-ninth day of June of the year one thousand nine hundred and fifty-one the following Convention, which may be cited as the Equal Remuneration Convention, 1951:</w:t>
      </w:r>
    </w:p>
    <w:bookmarkEnd w:id="4"/>
    <w:bookmarkStart w:name="z10" w:id="5"/>
    <w:p>
      <w:pPr>
        <w:spacing w:after="0"/>
        <w:ind w:left="0"/>
        <w:jc w:val="left"/>
      </w:pPr>
      <w:r>
        <w:rPr>
          <w:rFonts w:ascii="Times New Roman"/>
          <w:b/>
          <w:i w:val="false"/>
          <w:color w:val="000000"/>
        </w:rPr>
        <w:t xml:space="preserve"> 
Article 1</w:t>
      </w:r>
    </w:p>
    <w:bookmarkEnd w:id="5"/>
    <w:bookmarkStart w:name="z11" w:id="6"/>
    <w:p>
      <w:pPr>
        <w:spacing w:after="0"/>
        <w:ind w:left="0"/>
        <w:jc w:val="both"/>
      </w:pPr>
      <w:r>
        <w:rPr>
          <w:rFonts w:ascii="Times New Roman"/>
          <w:b w:val="false"/>
          <w:i w:val="false"/>
          <w:color w:val="000000"/>
          <w:sz w:val="28"/>
        </w:rPr>
        <w:t>
      For the purpose of this Convention--</w:t>
      </w:r>
      <w:r>
        <w:br/>
      </w:r>
      <w:r>
        <w:rPr>
          <w:rFonts w:ascii="Times New Roman"/>
          <w:b w:val="false"/>
          <w:i w:val="false"/>
          <w:color w:val="000000"/>
          <w:sz w:val="28"/>
        </w:rPr>
        <w:t>
</w:t>
      </w:r>
      <w:r>
        <w:rPr>
          <w:rFonts w:ascii="Times New Roman"/>
          <w:b w:val="false"/>
          <w:i w:val="false"/>
          <w:color w:val="000000"/>
          <w:sz w:val="28"/>
        </w:rPr>
        <w:t>
      (a) the term remuneration includes the ordinary, basic or minimum wage or salary and any additional emoluments whatsoever payable directly or indirectly, whether in cash or in kind, by the employer to the worker and arising out of the worker's employment;</w:t>
      </w:r>
      <w:r>
        <w:br/>
      </w:r>
      <w:r>
        <w:rPr>
          <w:rFonts w:ascii="Times New Roman"/>
          <w:b w:val="false"/>
          <w:i w:val="false"/>
          <w:color w:val="000000"/>
          <w:sz w:val="28"/>
        </w:rPr>
        <w:t>
</w:t>
      </w:r>
      <w:r>
        <w:rPr>
          <w:rFonts w:ascii="Times New Roman"/>
          <w:b w:val="false"/>
          <w:i w:val="false"/>
          <w:color w:val="000000"/>
          <w:sz w:val="28"/>
        </w:rPr>
        <w:t>
      (b) the term equal remuneration for men and women workers for work of equal value refers to rates of remuneration established without discrimination based on sex.</w:t>
      </w:r>
    </w:p>
    <w:bookmarkEnd w:id="6"/>
    <w:bookmarkStart w:name="z14" w:id="7"/>
    <w:p>
      <w:pPr>
        <w:spacing w:after="0"/>
        <w:ind w:left="0"/>
        <w:jc w:val="left"/>
      </w:pPr>
      <w:r>
        <w:rPr>
          <w:rFonts w:ascii="Times New Roman"/>
          <w:b/>
          <w:i w:val="false"/>
          <w:color w:val="000000"/>
        </w:rPr>
        <w:t xml:space="preserve"> 
Article 2</w:t>
      </w:r>
    </w:p>
    <w:bookmarkEnd w:id="7"/>
    <w:bookmarkStart w:name="z15" w:id="8"/>
    <w:p>
      <w:pPr>
        <w:spacing w:after="0"/>
        <w:ind w:left="0"/>
        <w:jc w:val="both"/>
      </w:pPr>
      <w:r>
        <w:rPr>
          <w:rFonts w:ascii="Times New Roman"/>
          <w:b w:val="false"/>
          <w:i w:val="false"/>
          <w:color w:val="000000"/>
          <w:sz w:val="28"/>
        </w:rPr>
        <w:t>
      1. Each Member shall, by means appropriate to the methods in operation for determining rates of remuneration, promote and, in so far as is consistent with such methods, ensure the application to all workers of the principle of equal remuneration for men and women workers for work of equal value.</w:t>
      </w:r>
      <w:r>
        <w:br/>
      </w:r>
      <w:r>
        <w:rPr>
          <w:rFonts w:ascii="Times New Roman"/>
          <w:b w:val="false"/>
          <w:i w:val="false"/>
          <w:color w:val="000000"/>
          <w:sz w:val="28"/>
        </w:rPr>
        <w:t>
</w:t>
      </w:r>
      <w:r>
        <w:rPr>
          <w:rFonts w:ascii="Times New Roman"/>
          <w:b w:val="false"/>
          <w:i w:val="false"/>
          <w:color w:val="000000"/>
          <w:sz w:val="28"/>
        </w:rPr>
        <w:t xml:space="preserve">
      2. This principle may be applied by means of-- </w:t>
      </w:r>
      <w:r>
        <w:br/>
      </w:r>
      <w:r>
        <w:rPr>
          <w:rFonts w:ascii="Times New Roman"/>
          <w:b w:val="false"/>
          <w:i w:val="false"/>
          <w:color w:val="000000"/>
          <w:sz w:val="28"/>
        </w:rPr>
        <w:t>
</w:t>
      </w:r>
      <w:r>
        <w:rPr>
          <w:rFonts w:ascii="Times New Roman"/>
          <w:b w:val="false"/>
          <w:i w:val="false"/>
          <w:color w:val="000000"/>
          <w:sz w:val="28"/>
        </w:rPr>
        <w:t>
      (a) national laws or regulations;</w:t>
      </w:r>
      <w:r>
        <w:br/>
      </w:r>
      <w:r>
        <w:rPr>
          <w:rFonts w:ascii="Times New Roman"/>
          <w:b w:val="false"/>
          <w:i w:val="false"/>
          <w:color w:val="000000"/>
          <w:sz w:val="28"/>
        </w:rPr>
        <w:t>
</w:t>
      </w:r>
      <w:r>
        <w:rPr>
          <w:rFonts w:ascii="Times New Roman"/>
          <w:b w:val="false"/>
          <w:i w:val="false"/>
          <w:color w:val="000000"/>
          <w:sz w:val="28"/>
        </w:rPr>
        <w:t>
      (b) legally established or recognised machinery for wage determination;</w:t>
      </w:r>
      <w:r>
        <w:br/>
      </w:r>
      <w:r>
        <w:rPr>
          <w:rFonts w:ascii="Times New Roman"/>
          <w:b w:val="false"/>
          <w:i w:val="false"/>
          <w:color w:val="000000"/>
          <w:sz w:val="28"/>
        </w:rPr>
        <w:t>
</w:t>
      </w:r>
      <w:r>
        <w:rPr>
          <w:rFonts w:ascii="Times New Roman"/>
          <w:b w:val="false"/>
          <w:i w:val="false"/>
          <w:color w:val="000000"/>
          <w:sz w:val="28"/>
        </w:rPr>
        <w:t>
      (c) collective agreements between employers and workers; or</w:t>
      </w:r>
      <w:r>
        <w:br/>
      </w:r>
      <w:r>
        <w:rPr>
          <w:rFonts w:ascii="Times New Roman"/>
          <w:b w:val="false"/>
          <w:i w:val="false"/>
          <w:color w:val="000000"/>
          <w:sz w:val="28"/>
        </w:rPr>
        <w:t>
</w:t>
      </w:r>
      <w:r>
        <w:rPr>
          <w:rFonts w:ascii="Times New Roman"/>
          <w:b w:val="false"/>
          <w:i w:val="false"/>
          <w:color w:val="000000"/>
          <w:sz w:val="28"/>
        </w:rPr>
        <w:t>
      (d) a combination of these various means.</w:t>
      </w:r>
    </w:p>
    <w:bookmarkEnd w:id="8"/>
    <w:bookmarkStart w:name="z21" w:id="9"/>
    <w:p>
      <w:pPr>
        <w:spacing w:after="0"/>
        <w:ind w:left="0"/>
        <w:jc w:val="left"/>
      </w:pPr>
      <w:r>
        <w:rPr>
          <w:rFonts w:ascii="Times New Roman"/>
          <w:b/>
          <w:i w:val="false"/>
          <w:color w:val="000000"/>
        </w:rPr>
        <w:t xml:space="preserve"> 
Article 3</w:t>
      </w:r>
    </w:p>
    <w:bookmarkEnd w:id="9"/>
    <w:bookmarkStart w:name="z22" w:id="10"/>
    <w:p>
      <w:pPr>
        <w:spacing w:after="0"/>
        <w:ind w:left="0"/>
        <w:jc w:val="both"/>
      </w:pPr>
      <w:r>
        <w:rPr>
          <w:rFonts w:ascii="Times New Roman"/>
          <w:b w:val="false"/>
          <w:i w:val="false"/>
          <w:color w:val="000000"/>
          <w:sz w:val="28"/>
        </w:rPr>
        <w:t>
      1. Where such action will assist in giving effect to the provisions of this Convention measures shall be taken to promote objective appraisal of jobs on the basis of the work to be performed.</w:t>
      </w:r>
      <w:r>
        <w:br/>
      </w:r>
      <w:r>
        <w:rPr>
          <w:rFonts w:ascii="Times New Roman"/>
          <w:b w:val="false"/>
          <w:i w:val="false"/>
          <w:color w:val="000000"/>
          <w:sz w:val="28"/>
        </w:rPr>
        <w:t>
</w:t>
      </w:r>
      <w:r>
        <w:rPr>
          <w:rFonts w:ascii="Times New Roman"/>
          <w:b w:val="false"/>
          <w:i w:val="false"/>
          <w:color w:val="000000"/>
          <w:sz w:val="28"/>
        </w:rPr>
        <w:t>
      2. The methods to be followed in this appraisal may be decided upon by the authorities responsible for the determination of rates of remuneration, or, where such rates are determined by collective agreements, by the parties thereto.</w:t>
      </w:r>
      <w:r>
        <w:br/>
      </w:r>
      <w:r>
        <w:rPr>
          <w:rFonts w:ascii="Times New Roman"/>
          <w:b w:val="false"/>
          <w:i w:val="false"/>
          <w:color w:val="000000"/>
          <w:sz w:val="28"/>
        </w:rPr>
        <w:t>
</w:t>
      </w:r>
      <w:r>
        <w:rPr>
          <w:rFonts w:ascii="Times New Roman"/>
          <w:b w:val="false"/>
          <w:i w:val="false"/>
          <w:color w:val="000000"/>
          <w:sz w:val="28"/>
        </w:rPr>
        <w:t>
      3. Differential rates between workers which correspond, without regard to sex, to differences, as determined by such objective appraisal, in the work to be performed shall not be considered as being contrary to the principle of equal remuneration for men and women workers for work of equal value.</w:t>
      </w:r>
    </w:p>
    <w:bookmarkEnd w:id="10"/>
    <w:bookmarkStart w:name="z25" w:id="11"/>
    <w:p>
      <w:pPr>
        <w:spacing w:after="0"/>
        <w:ind w:left="0"/>
        <w:jc w:val="left"/>
      </w:pPr>
      <w:r>
        <w:rPr>
          <w:rFonts w:ascii="Times New Roman"/>
          <w:b/>
          <w:i w:val="false"/>
          <w:color w:val="000000"/>
        </w:rPr>
        <w:t xml:space="preserve"> 
Article 4</w:t>
      </w:r>
    </w:p>
    <w:bookmarkEnd w:id="11"/>
    <w:bookmarkStart w:name="z26" w:id="12"/>
    <w:p>
      <w:pPr>
        <w:spacing w:after="0"/>
        <w:ind w:left="0"/>
        <w:jc w:val="both"/>
      </w:pPr>
      <w:r>
        <w:rPr>
          <w:rFonts w:ascii="Times New Roman"/>
          <w:b w:val="false"/>
          <w:i w:val="false"/>
          <w:color w:val="000000"/>
          <w:sz w:val="28"/>
        </w:rPr>
        <w:t>
      Each Member shall co-operate as appropriate with the employers' and workers' organisations concerned for the purpose of giving effect to the provisions of this Convention.</w:t>
      </w:r>
    </w:p>
    <w:bookmarkEnd w:id="12"/>
    <w:bookmarkStart w:name="z27" w:id="13"/>
    <w:p>
      <w:pPr>
        <w:spacing w:after="0"/>
        <w:ind w:left="0"/>
        <w:jc w:val="left"/>
      </w:pPr>
      <w:r>
        <w:rPr>
          <w:rFonts w:ascii="Times New Roman"/>
          <w:b/>
          <w:i w:val="false"/>
          <w:color w:val="000000"/>
        </w:rPr>
        <w:t xml:space="preserve"> 
Article 5</w:t>
      </w:r>
    </w:p>
    <w:bookmarkEnd w:id="13"/>
    <w:bookmarkStart w:name="z28" w:id="14"/>
    <w:p>
      <w:pPr>
        <w:spacing w:after="0"/>
        <w:ind w:left="0"/>
        <w:jc w:val="both"/>
      </w:pPr>
      <w:r>
        <w:rPr>
          <w:rFonts w:ascii="Times New Roman"/>
          <w:b w:val="false"/>
          <w:i w:val="false"/>
          <w:color w:val="000000"/>
          <w:sz w:val="28"/>
        </w:rPr>
        <w:t>
      The formal ratifications of this Convention shall be communicated to the Director-General of the International Labour Office for registration.</w:t>
      </w:r>
    </w:p>
    <w:bookmarkEnd w:id="14"/>
    <w:bookmarkStart w:name="z29" w:id="15"/>
    <w:p>
      <w:pPr>
        <w:spacing w:after="0"/>
        <w:ind w:left="0"/>
        <w:jc w:val="left"/>
      </w:pPr>
      <w:r>
        <w:rPr>
          <w:rFonts w:ascii="Times New Roman"/>
          <w:b/>
          <w:i w:val="false"/>
          <w:color w:val="000000"/>
        </w:rPr>
        <w:t xml:space="preserve"> 
Article 6</w:t>
      </w:r>
    </w:p>
    <w:bookmarkEnd w:id="15"/>
    <w:bookmarkStart w:name="z30" w:id="16"/>
    <w:p>
      <w:pPr>
        <w:spacing w:after="0"/>
        <w:ind w:left="0"/>
        <w:jc w:val="both"/>
      </w:pPr>
      <w:r>
        <w:rPr>
          <w:rFonts w:ascii="Times New Roman"/>
          <w:b w:val="false"/>
          <w:i w:val="false"/>
          <w:color w:val="000000"/>
          <w:sz w:val="28"/>
        </w:rPr>
        <w:t>
      1. This Convention shall be binding only upon those Members of the International Labour Organisation whose ratifications have been registered with the Director-General.</w:t>
      </w:r>
      <w:r>
        <w:br/>
      </w:r>
      <w:r>
        <w:rPr>
          <w:rFonts w:ascii="Times New Roman"/>
          <w:b w:val="false"/>
          <w:i w:val="false"/>
          <w:color w:val="000000"/>
          <w:sz w:val="28"/>
        </w:rPr>
        <w:t>
</w:t>
      </w:r>
      <w:r>
        <w:rPr>
          <w:rFonts w:ascii="Times New Roman"/>
          <w:b w:val="false"/>
          <w:i w:val="false"/>
          <w:color w:val="000000"/>
          <w:sz w:val="28"/>
        </w:rPr>
        <w:t>
      2. It shall come into force twelve months after the date on which the ratifications of two Members have been registered with the Director-General.</w:t>
      </w:r>
      <w:r>
        <w:br/>
      </w:r>
      <w:r>
        <w:rPr>
          <w:rFonts w:ascii="Times New Roman"/>
          <w:b w:val="false"/>
          <w:i w:val="false"/>
          <w:color w:val="000000"/>
          <w:sz w:val="28"/>
        </w:rPr>
        <w:t>
</w:t>
      </w:r>
      <w:r>
        <w:rPr>
          <w:rFonts w:ascii="Times New Roman"/>
          <w:b w:val="false"/>
          <w:i w:val="false"/>
          <w:color w:val="000000"/>
          <w:sz w:val="28"/>
        </w:rPr>
        <w:t>
      3. Thereafter, this Convention shall come into force for any Member twelve months after the date on which its ratification has been registered.</w:t>
      </w:r>
    </w:p>
    <w:bookmarkEnd w:id="16"/>
    <w:bookmarkStart w:name="z33" w:id="17"/>
    <w:p>
      <w:pPr>
        <w:spacing w:after="0"/>
        <w:ind w:left="0"/>
        <w:jc w:val="left"/>
      </w:pPr>
      <w:r>
        <w:rPr>
          <w:rFonts w:ascii="Times New Roman"/>
          <w:b/>
          <w:i w:val="false"/>
          <w:color w:val="000000"/>
        </w:rPr>
        <w:t xml:space="preserve"> 
Article 7</w:t>
      </w:r>
    </w:p>
    <w:bookmarkEnd w:id="17"/>
    <w:bookmarkStart w:name="z34" w:id="18"/>
    <w:p>
      <w:pPr>
        <w:spacing w:after="0"/>
        <w:ind w:left="0"/>
        <w:jc w:val="both"/>
      </w:pPr>
      <w:r>
        <w:rPr>
          <w:rFonts w:ascii="Times New Roman"/>
          <w:b w:val="false"/>
          <w:i w:val="false"/>
          <w:color w:val="000000"/>
          <w:sz w:val="28"/>
        </w:rPr>
        <w:t xml:space="preserve">
      1. Declarations communicated to the Director-General of the International Labour Office in accordance with paragraph 2 of Article 35 of the Constitution of the International Labour Organisation shall indicate -- </w:t>
      </w:r>
      <w:r>
        <w:br/>
      </w:r>
      <w:r>
        <w:rPr>
          <w:rFonts w:ascii="Times New Roman"/>
          <w:b w:val="false"/>
          <w:i w:val="false"/>
          <w:color w:val="000000"/>
          <w:sz w:val="28"/>
        </w:rPr>
        <w:t>
</w:t>
      </w:r>
      <w:r>
        <w:rPr>
          <w:rFonts w:ascii="Times New Roman"/>
          <w:b w:val="false"/>
          <w:i w:val="false"/>
          <w:color w:val="000000"/>
          <w:sz w:val="28"/>
        </w:rPr>
        <w:t>
      (a) the territories in respect of which the Member concerned undertakes that the provisions of the Convention shall be applied without modification;</w:t>
      </w:r>
      <w:r>
        <w:br/>
      </w:r>
      <w:r>
        <w:rPr>
          <w:rFonts w:ascii="Times New Roman"/>
          <w:b w:val="false"/>
          <w:i w:val="false"/>
          <w:color w:val="000000"/>
          <w:sz w:val="28"/>
        </w:rPr>
        <w:t>
</w:t>
      </w:r>
      <w:r>
        <w:rPr>
          <w:rFonts w:ascii="Times New Roman"/>
          <w:b w:val="false"/>
          <w:i w:val="false"/>
          <w:color w:val="000000"/>
          <w:sz w:val="28"/>
        </w:rPr>
        <w:t>
      (b) the territories in respect of which it undertakes that the provisions of the Convention shall be applied subject to modifications, together with details of the said modifications;</w:t>
      </w:r>
      <w:r>
        <w:br/>
      </w:r>
      <w:r>
        <w:rPr>
          <w:rFonts w:ascii="Times New Roman"/>
          <w:b w:val="false"/>
          <w:i w:val="false"/>
          <w:color w:val="000000"/>
          <w:sz w:val="28"/>
        </w:rPr>
        <w:t>
</w:t>
      </w:r>
      <w:r>
        <w:rPr>
          <w:rFonts w:ascii="Times New Roman"/>
          <w:b w:val="false"/>
          <w:i w:val="false"/>
          <w:color w:val="000000"/>
          <w:sz w:val="28"/>
        </w:rPr>
        <w:t>
      (c) the territories in respect of which the Convention is inapplicable and in such cases the grounds on which it is inapplicable;</w:t>
      </w:r>
      <w:r>
        <w:br/>
      </w:r>
      <w:r>
        <w:rPr>
          <w:rFonts w:ascii="Times New Roman"/>
          <w:b w:val="false"/>
          <w:i w:val="false"/>
          <w:color w:val="000000"/>
          <w:sz w:val="28"/>
        </w:rPr>
        <w:t>
</w:t>
      </w:r>
      <w:r>
        <w:rPr>
          <w:rFonts w:ascii="Times New Roman"/>
          <w:b w:val="false"/>
          <w:i w:val="false"/>
          <w:color w:val="000000"/>
          <w:sz w:val="28"/>
        </w:rPr>
        <w:t>
      (d) the territories in respect of which it reserves its decision pending further consideration of the position.</w:t>
      </w:r>
      <w:r>
        <w:br/>
      </w:r>
      <w:r>
        <w:rPr>
          <w:rFonts w:ascii="Times New Roman"/>
          <w:b w:val="false"/>
          <w:i w:val="false"/>
          <w:color w:val="000000"/>
          <w:sz w:val="28"/>
        </w:rPr>
        <w:t>
</w:t>
      </w:r>
      <w:r>
        <w:rPr>
          <w:rFonts w:ascii="Times New Roman"/>
          <w:b w:val="false"/>
          <w:i w:val="false"/>
          <w:color w:val="000000"/>
          <w:sz w:val="28"/>
        </w:rPr>
        <w:t>
      2. The undertakings referred to in subparagraphs (a) and (b) of paragraph 1 of this Article shall be deemed to be an integral part of the ratification and shall have the force of ratification.</w:t>
      </w:r>
      <w:r>
        <w:br/>
      </w:r>
      <w:r>
        <w:rPr>
          <w:rFonts w:ascii="Times New Roman"/>
          <w:b w:val="false"/>
          <w:i w:val="false"/>
          <w:color w:val="000000"/>
          <w:sz w:val="28"/>
        </w:rPr>
        <w:t>
</w:t>
      </w:r>
      <w:r>
        <w:rPr>
          <w:rFonts w:ascii="Times New Roman"/>
          <w:b w:val="false"/>
          <w:i w:val="false"/>
          <w:color w:val="000000"/>
          <w:sz w:val="28"/>
        </w:rPr>
        <w:t>
      3. Any Member may at any time by a subsequent declaration cancel in whole or in part any reservation made in its original declaration in virtue of subparagraph (b), (c) or (d) of paragraph 1 of this Article.</w:t>
      </w:r>
      <w:r>
        <w:br/>
      </w:r>
      <w:r>
        <w:rPr>
          <w:rFonts w:ascii="Times New Roman"/>
          <w:b w:val="false"/>
          <w:i w:val="false"/>
          <w:color w:val="000000"/>
          <w:sz w:val="28"/>
        </w:rPr>
        <w:t>
</w:t>
      </w:r>
      <w:r>
        <w:rPr>
          <w:rFonts w:ascii="Times New Roman"/>
          <w:b w:val="false"/>
          <w:i w:val="false"/>
          <w:color w:val="000000"/>
          <w:sz w:val="28"/>
        </w:rPr>
        <w:t>
      4. Any Member may, at any time at which the Convention is subject to denunciation in accordance with the provisions of Article 9, communicate to the Director-General a declaration modifying in any other respect the terms of any former declaration and stating the present position in respect of such territories as it may specify.</w:t>
      </w:r>
    </w:p>
    <w:bookmarkEnd w:id="18"/>
    <w:bookmarkStart w:name="z42" w:id="19"/>
    <w:p>
      <w:pPr>
        <w:spacing w:after="0"/>
        <w:ind w:left="0"/>
        <w:jc w:val="left"/>
      </w:pPr>
      <w:r>
        <w:rPr>
          <w:rFonts w:ascii="Times New Roman"/>
          <w:b/>
          <w:i w:val="false"/>
          <w:color w:val="000000"/>
        </w:rPr>
        <w:t xml:space="preserve"> 
Article 8</w:t>
      </w:r>
    </w:p>
    <w:bookmarkEnd w:id="19"/>
    <w:bookmarkStart w:name="z43" w:id="20"/>
    <w:p>
      <w:pPr>
        <w:spacing w:after="0"/>
        <w:ind w:left="0"/>
        <w:jc w:val="both"/>
      </w:pPr>
      <w:r>
        <w:rPr>
          <w:rFonts w:ascii="Times New Roman"/>
          <w:b w:val="false"/>
          <w:i w:val="false"/>
          <w:color w:val="000000"/>
          <w:sz w:val="28"/>
        </w:rPr>
        <w:t>
      1. Declarations communicated to the Director-General of the International Labour Office in accordance with paragraph 4 or 5 of Article 35 of the Constitution of the International Labour Organisation shall indicate whether the provisions of the Convention will be applied in the territory concerned without modification or subject to modifications; when the declaration indicates that the provisions of the Convention will be applied subject to modifications, it shall give details of the said modifications.</w:t>
      </w:r>
      <w:r>
        <w:br/>
      </w:r>
      <w:r>
        <w:rPr>
          <w:rFonts w:ascii="Times New Roman"/>
          <w:b w:val="false"/>
          <w:i w:val="false"/>
          <w:color w:val="000000"/>
          <w:sz w:val="28"/>
        </w:rPr>
        <w:t>
</w:t>
      </w:r>
      <w:r>
        <w:rPr>
          <w:rFonts w:ascii="Times New Roman"/>
          <w:b w:val="false"/>
          <w:i w:val="false"/>
          <w:color w:val="000000"/>
          <w:sz w:val="28"/>
        </w:rPr>
        <w:t>
      2. The Member, Members or international authority concerned may at any time by a subsequent declaration renounce in whole or in part the right to have recourse to any modification indicated in any former declaration.</w:t>
      </w:r>
      <w:r>
        <w:br/>
      </w:r>
      <w:r>
        <w:rPr>
          <w:rFonts w:ascii="Times New Roman"/>
          <w:b w:val="false"/>
          <w:i w:val="false"/>
          <w:color w:val="000000"/>
          <w:sz w:val="28"/>
        </w:rPr>
        <w:t>
</w:t>
      </w:r>
      <w:r>
        <w:rPr>
          <w:rFonts w:ascii="Times New Roman"/>
          <w:b w:val="false"/>
          <w:i w:val="false"/>
          <w:color w:val="000000"/>
          <w:sz w:val="28"/>
        </w:rPr>
        <w:t>
      3. The Member, Members or international authority concerned may, at any time at which this Convention is subject to denunciation in accordance with the provisions of Article 9, communicate to the Director-General a declaration modifying in any other respect the terms of any former declaration and stating the present position in respect of the application of the Convention.</w:t>
      </w:r>
    </w:p>
    <w:bookmarkEnd w:id="20"/>
    <w:bookmarkStart w:name="z46" w:id="21"/>
    <w:p>
      <w:pPr>
        <w:spacing w:after="0"/>
        <w:ind w:left="0"/>
        <w:jc w:val="left"/>
      </w:pPr>
      <w:r>
        <w:rPr>
          <w:rFonts w:ascii="Times New Roman"/>
          <w:b/>
          <w:i w:val="false"/>
          <w:color w:val="000000"/>
        </w:rPr>
        <w:t xml:space="preserve"> 
Article 9</w:t>
      </w:r>
    </w:p>
    <w:bookmarkEnd w:id="21"/>
    <w:bookmarkStart w:name="z47" w:id="22"/>
    <w:p>
      <w:pPr>
        <w:spacing w:after="0"/>
        <w:ind w:left="0"/>
        <w:jc w:val="both"/>
      </w:pPr>
      <w:r>
        <w:rPr>
          <w:rFonts w:ascii="Times New Roman"/>
          <w:b w:val="false"/>
          <w:i w:val="false"/>
          <w:color w:val="000000"/>
          <w:sz w:val="28"/>
        </w:rPr>
        <w:t>
      1. A Member which has ratified this Convention may denounce it after the expiration of ten years from the date on which the Convention first comes into force, by an act communicated to the Director-General of the International Labour Office for registration. Such denunciation shall not take effect until one year after the date on which it is registered.</w:t>
      </w:r>
      <w:r>
        <w:br/>
      </w:r>
      <w:r>
        <w:rPr>
          <w:rFonts w:ascii="Times New Roman"/>
          <w:b w:val="false"/>
          <w:i w:val="false"/>
          <w:color w:val="000000"/>
          <w:sz w:val="28"/>
        </w:rPr>
        <w:t>
</w:t>
      </w:r>
      <w:r>
        <w:rPr>
          <w:rFonts w:ascii="Times New Roman"/>
          <w:b w:val="false"/>
          <w:i w:val="false"/>
          <w:color w:val="000000"/>
          <w:sz w:val="28"/>
        </w:rPr>
        <w:t>
      2. 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at the expiration of each period of ten years under the terms provided for in this Article.</w:t>
      </w:r>
    </w:p>
    <w:bookmarkEnd w:id="22"/>
    <w:bookmarkStart w:name="z49" w:id="23"/>
    <w:p>
      <w:pPr>
        <w:spacing w:after="0"/>
        <w:ind w:left="0"/>
        <w:jc w:val="left"/>
      </w:pPr>
      <w:r>
        <w:rPr>
          <w:rFonts w:ascii="Times New Roman"/>
          <w:b/>
          <w:i w:val="false"/>
          <w:color w:val="000000"/>
        </w:rPr>
        <w:t xml:space="preserve"> 
Article 10</w:t>
      </w:r>
    </w:p>
    <w:bookmarkEnd w:id="23"/>
    <w:bookmarkStart w:name="z50" w:id="24"/>
    <w:p>
      <w:pPr>
        <w:spacing w:after="0"/>
        <w:ind w:left="0"/>
        <w:jc w:val="both"/>
      </w:pPr>
      <w:r>
        <w:rPr>
          <w:rFonts w:ascii="Times New Roman"/>
          <w:b w:val="false"/>
          <w:i w:val="false"/>
          <w:color w:val="000000"/>
          <w:sz w:val="28"/>
        </w:rPr>
        <w:t>
      1. The Director-General of the International Labour Office shall notify all Members of the International Labour Organisation of the registration of all ratifications, declarations and denunciations communicated to him by the Members of the Organisation.</w:t>
      </w:r>
      <w:r>
        <w:br/>
      </w:r>
      <w:r>
        <w:rPr>
          <w:rFonts w:ascii="Times New Roman"/>
          <w:b w:val="false"/>
          <w:i w:val="false"/>
          <w:color w:val="000000"/>
          <w:sz w:val="28"/>
        </w:rPr>
        <w:t>
</w:t>
      </w:r>
      <w:r>
        <w:rPr>
          <w:rFonts w:ascii="Times New Roman"/>
          <w:b w:val="false"/>
          <w:i w:val="false"/>
          <w:color w:val="000000"/>
          <w:sz w:val="28"/>
        </w:rPr>
        <w:t>
      2. When notifying the Members of the Organisation of the registration of the second ratification communicated to him, the Director-General shall draw the attention of the Members of the Organisation to the date upon which the Convention will come into force.</w:t>
      </w:r>
    </w:p>
    <w:bookmarkEnd w:id="24"/>
    <w:bookmarkStart w:name="z52" w:id="25"/>
    <w:p>
      <w:pPr>
        <w:spacing w:after="0"/>
        <w:ind w:left="0"/>
        <w:jc w:val="left"/>
      </w:pPr>
      <w:r>
        <w:rPr>
          <w:rFonts w:ascii="Times New Roman"/>
          <w:b/>
          <w:i w:val="false"/>
          <w:color w:val="000000"/>
        </w:rPr>
        <w:t xml:space="preserve"> 
Article 11</w:t>
      </w:r>
    </w:p>
    <w:bookmarkEnd w:id="25"/>
    <w:bookmarkStart w:name="z53" w:id="26"/>
    <w:p>
      <w:pPr>
        <w:spacing w:after="0"/>
        <w:ind w:left="0"/>
        <w:jc w:val="both"/>
      </w:pPr>
      <w:r>
        <w:rPr>
          <w:rFonts w:ascii="Times New Roman"/>
          <w:b w:val="false"/>
          <w:i w:val="false"/>
          <w:color w:val="000000"/>
          <w:sz w:val="28"/>
        </w:rPr>
        <w:t>
      The Director-General of the International Labour Office shall communicate to the Secretary-General of the United Nations for registration in accordance with Article 102 of the Charter of the United Nations full particulars of all ratifications, declarations and acts of denunciation registered by him in accordance with the provisions of the preceding articles.</w:t>
      </w:r>
    </w:p>
    <w:bookmarkEnd w:id="26"/>
    <w:bookmarkStart w:name="z54" w:id="27"/>
    <w:p>
      <w:pPr>
        <w:spacing w:after="0"/>
        <w:ind w:left="0"/>
        <w:jc w:val="left"/>
      </w:pPr>
      <w:r>
        <w:rPr>
          <w:rFonts w:ascii="Times New Roman"/>
          <w:b/>
          <w:i w:val="false"/>
          <w:color w:val="000000"/>
        </w:rPr>
        <w:t xml:space="preserve"> 
Article 12</w:t>
      </w:r>
    </w:p>
    <w:bookmarkEnd w:id="27"/>
    <w:bookmarkStart w:name="z55" w:id="28"/>
    <w:p>
      <w:pPr>
        <w:spacing w:after="0"/>
        <w:ind w:left="0"/>
        <w:jc w:val="both"/>
      </w:pPr>
      <w:r>
        <w:rPr>
          <w:rFonts w:ascii="Times New Roman"/>
          <w:b w:val="false"/>
          <w:i w:val="false"/>
          <w:color w:val="000000"/>
          <w:sz w:val="28"/>
        </w:rPr>
        <w:t>
      At such times as may consider necessary the Governing Body of the International Labour Office shall present to the General Conference a report on the working of this Convention and shall examine the desirability of placing on the agenda of the Conference the question of its revision in whole or in part.</w:t>
      </w:r>
    </w:p>
    <w:bookmarkEnd w:id="28"/>
    <w:bookmarkStart w:name="z56" w:id="29"/>
    <w:p>
      <w:pPr>
        <w:spacing w:after="0"/>
        <w:ind w:left="0"/>
        <w:jc w:val="left"/>
      </w:pPr>
      <w:r>
        <w:rPr>
          <w:rFonts w:ascii="Times New Roman"/>
          <w:b/>
          <w:i w:val="false"/>
          <w:color w:val="000000"/>
        </w:rPr>
        <w:t xml:space="preserve"> 
Article 13</w:t>
      </w:r>
    </w:p>
    <w:bookmarkEnd w:id="29"/>
    <w:bookmarkStart w:name="z57" w:id="30"/>
    <w:p>
      <w:pPr>
        <w:spacing w:after="0"/>
        <w:ind w:left="0"/>
        <w:jc w:val="both"/>
      </w:pPr>
      <w:r>
        <w:rPr>
          <w:rFonts w:ascii="Times New Roman"/>
          <w:b w:val="false"/>
          <w:i w:val="false"/>
          <w:color w:val="000000"/>
          <w:sz w:val="28"/>
        </w:rPr>
        <w:t xml:space="preserve">
      1. Should the Conference adopt a new Convention revising this Convention in whole or in part, then, unless the new Convention otherwise provides-- </w:t>
      </w:r>
      <w:r>
        <w:br/>
      </w:r>
      <w:r>
        <w:rPr>
          <w:rFonts w:ascii="Times New Roman"/>
          <w:b w:val="false"/>
          <w:i w:val="false"/>
          <w:color w:val="000000"/>
          <w:sz w:val="28"/>
        </w:rPr>
        <w:t>
</w:t>
      </w:r>
      <w:r>
        <w:rPr>
          <w:rFonts w:ascii="Times New Roman"/>
          <w:b w:val="false"/>
          <w:i w:val="false"/>
          <w:color w:val="000000"/>
          <w:sz w:val="28"/>
        </w:rPr>
        <w:t>
      (a) the ratification by a Member of the new revising Convention shall ipso jure involve the immediate denunciation of this Convention, notwithstanding the provisions of Article 9 above, if and when the new revising Convention shall have come into force;</w:t>
      </w:r>
      <w:r>
        <w:br/>
      </w:r>
      <w:r>
        <w:rPr>
          <w:rFonts w:ascii="Times New Roman"/>
          <w:b w:val="false"/>
          <w:i w:val="false"/>
          <w:color w:val="000000"/>
          <w:sz w:val="28"/>
        </w:rPr>
        <w:t>
</w:t>
      </w:r>
      <w:r>
        <w:rPr>
          <w:rFonts w:ascii="Times New Roman"/>
          <w:b w:val="false"/>
          <w:i w:val="false"/>
          <w:color w:val="000000"/>
          <w:sz w:val="28"/>
        </w:rPr>
        <w:t>
      (b) as from the date when the new revising Convention comes into force this Convention shall cease to be open to ratification by the Members.</w:t>
      </w:r>
      <w:r>
        <w:br/>
      </w:r>
      <w:r>
        <w:rPr>
          <w:rFonts w:ascii="Times New Roman"/>
          <w:b w:val="false"/>
          <w:i w:val="false"/>
          <w:color w:val="000000"/>
          <w:sz w:val="28"/>
        </w:rPr>
        <w:t>
</w:t>
      </w:r>
      <w:r>
        <w:rPr>
          <w:rFonts w:ascii="Times New Roman"/>
          <w:b w:val="false"/>
          <w:i w:val="false"/>
          <w:color w:val="000000"/>
          <w:sz w:val="28"/>
        </w:rPr>
        <w:t>
      2. This Convention shall in any case remain in force in its actual form and content for those Members which have ratified it but have not ratified the revising Convention.</w:t>
      </w:r>
    </w:p>
    <w:bookmarkEnd w:id="30"/>
    <w:bookmarkStart w:name="z61" w:id="31"/>
    <w:p>
      <w:pPr>
        <w:spacing w:after="0"/>
        <w:ind w:left="0"/>
        <w:jc w:val="left"/>
      </w:pPr>
      <w:r>
        <w:rPr>
          <w:rFonts w:ascii="Times New Roman"/>
          <w:b/>
          <w:i w:val="false"/>
          <w:color w:val="000000"/>
        </w:rPr>
        <w:t xml:space="preserve"> 
Article 14</w:t>
      </w:r>
    </w:p>
    <w:bookmarkEnd w:id="31"/>
    <w:bookmarkStart w:name="z62" w:id="32"/>
    <w:p>
      <w:pPr>
        <w:spacing w:after="0"/>
        <w:ind w:left="0"/>
        <w:jc w:val="both"/>
      </w:pPr>
      <w:r>
        <w:rPr>
          <w:rFonts w:ascii="Times New Roman"/>
          <w:b w:val="false"/>
          <w:i w:val="false"/>
          <w:color w:val="000000"/>
          <w:sz w:val="28"/>
        </w:rPr>
        <w:t>
      The English and French versions of the text of this Convention are equally authoritative.</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