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1495" w14:textId="8041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Convention concerning Tripartite Consultations to Promote the Implementation of International Labour Standards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30 December 1999</w:t>
      </w:r>
    </w:p>
    <w:p>
      <w:pPr>
        <w:spacing w:after="0"/>
        <w:ind w:left="0"/>
        <w:jc w:val="both"/>
      </w:pPr>
      <w:bookmarkStart w:name="z1" w:id="0"/>
      <w:r>
        <w:rPr>
          <w:rFonts w:ascii="Times New Roman"/>
          <w:b w:val="false"/>
          <w:i w:val="false"/>
          <w:color w:val="000000"/>
          <w:sz w:val="28"/>
        </w:rPr>
        <w:t>
      To ratify the Convention concerning Tripartite Consultations to Promote the Implementation of International Labour Standards (international labour norms), adopted in Geneva, 21 June 1976.</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№144 of the International Labour Organisation concerning Tripartite Consultations to Promote the Implementation of International Labour Standards </w:t>
      </w:r>
    </w:p>
    <w:bookmarkEnd w:id="1"/>
    <w:bookmarkStart w:name="z3" w:id="2"/>
    <w:p>
      <w:pPr>
        <w:spacing w:after="0"/>
        <w:ind w:left="0"/>
        <w:jc w:val="left"/>
      </w:pPr>
      <w:r>
        <w:rPr>
          <w:rFonts w:ascii="Times New Roman"/>
          <w:b/>
          <w:i w:val="false"/>
          <w:color w:val="000000"/>
        </w:rPr>
        <w:t xml:space="preserve"> 
(Geneva, 2 June 1976)</w:t>
      </w:r>
    </w:p>
    <w:bookmarkEnd w:id="2"/>
    <w:bookmarkStart w:name="z4" w:id="3"/>
    <w:p>
      <w:pPr>
        <w:spacing w:after="0"/>
        <w:ind w:left="0"/>
        <w:jc w:val="left"/>
      </w:pPr>
      <w:r>
        <w:rPr>
          <w:rFonts w:ascii="Times New Roman"/>
          <w:b/>
          <w:i w:val="false"/>
          <w:color w:val="000000"/>
        </w:rPr>
        <w:t xml:space="preserve"> 
Preamble </w:t>
      </w:r>
    </w:p>
    <w:bookmarkEnd w:id="3"/>
    <w:bookmarkStart w:name="z5" w:id="4"/>
    <w:p>
      <w:pPr>
        <w:spacing w:after="0"/>
        <w:ind w:left="0"/>
        <w:jc w:val="both"/>
      </w:pPr>
      <w:r>
        <w:rPr>
          <w:rFonts w:ascii="Times New Roman"/>
          <w:b w:val="false"/>
          <w:i w:val="false"/>
          <w:color w:val="000000"/>
          <w:sz w:val="28"/>
        </w:rPr>
        <w:t>
      The General Conference of the International Labour Organisation,</w:t>
      </w:r>
      <w:r>
        <w:br/>
      </w:r>
      <w:r>
        <w:rPr>
          <w:rFonts w:ascii="Times New Roman"/>
          <w:b w:val="false"/>
          <w:i w:val="false"/>
          <w:color w:val="000000"/>
          <w:sz w:val="28"/>
        </w:rPr>
        <w:t>
</w:t>
      </w:r>
      <w:r>
        <w:rPr>
          <w:rFonts w:ascii="Times New Roman"/>
          <w:b w:val="false"/>
          <w:i w:val="false"/>
          <w:color w:val="000000"/>
          <w:sz w:val="28"/>
        </w:rPr>
        <w:t>
      Having been convened at Geneva by the Governing Body of the International Labour Office, and having met in its Sixty-first Session on 2 June 1976, and</w:t>
      </w:r>
      <w:r>
        <w:br/>
      </w:r>
      <w:r>
        <w:rPr>
          <w:rFonts w:ascii="Times New Roman"/>
          <w:b w:val="false"/>
          <w:i w:val="false"/>
          <w:color w:val="000000"/>
          <w:sz w:val="28"/>
        </w:rPr>
        <w:t>
</w:t>
      </w:r>
      <w:r>
        <w:rPr>
          <w:rFonts w:ascii="Times New Roman"/>
          <w:b w:val="false"/>
          <w:i w:val="false"/>
          <w:color w:val="000000"/>
          <w:sz w:val="28"/>
        </w:rPr>
        <w:t>
      Recalling the terms of existing international labour Conventions and Recommendations--in particular the Freedom of Association and Protection of the Right to Organise Convention, 1948, the Right to Organise and Collective Bargaining Convention, 1949, and the Consultation (Industrial and National Levels) Recommendation, 1960--which affirm the right of employers and workers to establish free and independent organisations and call for measures to promote effective consultation at the national level between public authorities and employers' and workers' organisations, as well as the provisions of numerous international labour Conventions and Recommendations which provide for the consultation of employers' and workers' organisations on measures to give effect thereto, and</w:t>
      </w:r>
      <w:r>
        <w:br/>
      </w:r>
      <w:r>
        <w:rPr>
          <w:rFonts w:ascii="Times New Roman"/>
          <w:b w:val="false"/>
          <w:i w:val="false"/>
          <w:color w:val="000000"/>
          <w:sz w:val="28"/>
        </w:rPr>
        <w:t>
</w:t>
      </w:r>
      <w:r>
        <w:rPr>
          <w:rFonts w:ascii="Times New Roman"/>
          <w:b w:val="false"/>
          <w:i w:val="false"/>
          <w:color w:val="000000"/>
          <w:sz w:val="28"/>
        </w:rPr>
        <w:t>
      Having considered the fourth item on the agenda of the session which is entitled "Establishment of tripartite machinery to promote the implementation of international labour standards", and having decided upon the adoption of certain proposals concerning tripartite consultation to promote the implementation of international labour standards, and</w:t>
      </w:r>
      <w:r>
        <w:br/>
      </w:r>
      <w:r>
        <w:rPr>
          <w:rFonts w:ascii="Times New Roman"/>
          <w:b w:val="false"/>
          <w:i w:val="false"/>
          <w:color w:val="000000"/>
          <w:sz w:val="28"/>
        </w:rPr>
        <w:t>
</w:t>
      </w:r>
      <w:r>
        <w:rPr>
          <w:rFonts w:ascii="Times New Roman"/>
          <w:b w:val="false"/>
          <w:i w:val="false"/>
          <w:color w:val="000000"/>
          <w:sz w:val="28"/>
        </w:rPr>
        <w:t>
      Having determined that these proposals shall take the form of an international Convention,</w:t>
      </w:r>
      <w:r>
        <w:br/>
      </w:r>
      <w:r>
        <w:rPr>
          <w:rFonts w:ascii="Times New Roman"/>
          <w:b w:val="false"/>
          <w:i w:val="false"/>
          <w:color w:val="000000"/>
          <w:sz w:val="28"/>
        </w:rPr>
        <w:t>
</w:t>
      </w:r>
      <w:r>
        <w:rPr>
          <w:rFonts w:ascii="Times New Roman"/>
          <w:b w:val="false"/>
          <w:i w:val="false"/>
          <w:color w:val="000000"/>
          <w:sz w:val="28"/>
        </w:rPr>
        <w:t>
      adopts this twenty-first day of June of the year one thousand nine hundred and seventy-six the following Convention, which may be cited as the Tripartite Consultation (International Labour Standards) Convention, 1976:</w:t>
      </w:r>
    </w:p>
    <w:bookmarkEnd w:id="4"/>
    <w:bookmarkStart w:name="z11" w:id="5"/>
    <w:p>
      <w:pPr>
        <w:spacing w:after="0"/>
        <w:ind w:left="0"/>
        <w:jc w:val="left"/>
      </w:pPr>
      <w:r>
        <w:rPr>
          <w:rFonts w:ascii="Times New Roman"/>
          <w:b/>
          <w:i w:val="false"/>
          <w:color w:val="000000"/>
        </w:rPr>
        <w:t xml:space="preserve"> 
Article 1</w:t>
      </w:r>
    </w:p>
    <w:bookmarkEnd w:id="5"/>
    <w:bookmarkStart w:name="z12" w:id="6"/>
    <w:p>
      <w:pPr>
        <w:spacing w:after="0"/>
        <w:ind w:left="0"/>
        <w:jc w:val="both"/>
      </w:pPr>
      <w:r>
        <w:rPr>
          <w:rFonts w:ascii="Times New Roman"/>
          <w:b w:val="false"/>
          <w:i w:val="false"/>
          <w:color w:val="000000"/>
          <w:sz w:val="28"/>
        </w:rPr>
        <w:t>
      In this Convention the term representative organisations means the most representative organisations of employers and workers enjoying the right of freedom of association.</w:t>
      </w:r>
    </w:p>
    <w:bookmarkEnd w:id="6"/>
    <w:bookmarkStart w:name="z13" w:id="7"/>
    <w:p>
      <w:pPr>
        <w:spacing w:after="0"/>
        <w:ind w:left="0"/>
        <w:jc w:val="left"/>
      </w:pPr>
      <w:r>
        <w:rPr>
          <w:rFonts w:ascii="Times New Roman"/>
          <w:b/>
          <w:i w:val="false"/>
          <w:color w:val="000000"/>
        </w:rPr>
        <w:t xml:space="preserve"> 
Article 2</w:t>
      </w:r>
    </w:p>
    <w:bookmarkEnd w:id="7"/>
    <w:bookmarkStart w:name="z14" w:id="8"/>
    <w:p>
      <w:pPr>
        <w:spacing w:after="0"/>
        <w:ind w:left="0"/>
        <w:jc w:val="both"/>
      </w:pPr>
      <w:r>
        <w:rPr>
          <w:rFonts w:ascii="Times New Roman"/>
          <w:b w:val="false"/>
          <w:i w:val="false"/>
          <w:color w:val="000000"/>
          <w:sz w:val="28"/>
        </w:rPr>
        <w:t>
      1. Each Member of the International Labour Organisation which ratifies this Convention undertakes to operate procedures which ensure effective consultations, with respect to the matters concerning the activities of the International Labour Organisation set out in Article 5, paragraph 1, below, between representatives of the government, of employers and of workers.</w:t>
      </w:r>
      <w:r>
        <w:br/>
      </w:r>
      <w:r>
        <w:rPr>
          <w:rFonts w:ascii="Times New Roman"/>
          <w:b w:val="false"/>
          <w:i w:val="false"/>
          <w:color w:val="000000"/>
          <w:sz w:val="28"/>
        </w:rPr>
        <w:t>
</w:t>
      </w:r>
      <w:r>
        <w:rPr>
          <w:rFonts w:ascii="Times New Roman"/>
          <w:b w:val="false"/>
          <w:i w:val="false"/>
          <w:color w:val="000000"/>
          <w:sz w:val="28"/>
        </w:rPr>
        <w:t>
      2. The nature and form of the procedures provided for in paragraph 1 of this Article shall be determined in each country in accordance with national practice, after consultation with the representative organisations, where such organisations exist and such procedures have not yet been established.</w:t>
      </w:r>
    </w:p>
    <w:bookmarkEnd w:id="8"/>
    <w:bookmarkStart w:name="z16" w:id="9"/>
    <w:p>
      <w:pPr>
        <w:spacing w:after="0"/>
        <w:ind w:left="0"/>
        <w:jc w:val="left"/>
      </w:pPr>
      <w:r>
        <w:rPr>
          <w:rFonts w:ascii="Times New Roman"/>
          <w:b/>
          <w:i w:val="false"/>
          <w:color w:val="000000"/>
        </w:rPr>
        <w:t xml:space="preserve"> 
Article 3</w:t>
      </w:r>
    </w:p>
    <w:bookmarkEnd w:id="9"/>
    <w:bookmarkStart w:name="z17" w:id="10"/>
    <w:p>
      <w:pPr>
        <w:spacing w:after="0"/>
        <w:ind w:left="0"/>
        <w:jc w:val="both"/>
      </w:pPr>
      <w:r>
        <w:rPr>
          <w:rFonts w:ascii="Times New Roman"/>
          <w:b w:val="false"/>
          <w:i w:val="false"/>
          <w:color w:val="000000"/>
          <w:sz w:val="28"/>
        </w:rPr>
        <w:t>
      1. The representatives of employers and workers for the purposes of the procedures provided for in this Convention shall be freely chosen by their representative organisations, where such organisations exist.</w:t>
      </w:r>
      <w:r>
        <w:br/>
      </w:r>
      <w:r>
        <w:rPr>
          <w:rFonts w:ascii="Times New Roman"/>
          <w:b w:val="false"/>
          <w:i w:val="false"/>
          <w:color w:val="000000"/>
          <w:sz w:val="28"/>
        </w:rPr>
        <w:t>
</w:t>
      </w:r>
      <w:r>
        <w:rPr>
          <w:rFonts w:ascii="Times New Roman"/>
          <w:b w:val="false"/>
          <w:i w:val="false"/>
          <w:color w:val="000000"/>
          <w:sz w:val="28"/>
        </w:rPr>
        <w:t>
      2. Employers and workers shall be represented on an equal footing on any bodies through which consultations are undertaken.</w:t>
      </w:r>
    </w:p>
    <w:bookmarkEnd w:id="10"/>
    <w:bookmarkStart w:name="z19" w:id="11"/>
    <w:p>
      <w:pPr>
        <w:spacing w:after="0"/>
        <w:ind w:left="0"/>
        <w:jc w:val="left"/>
      </w:pPr>
      <w:r>
        <w:rPr>
          <w:rFonts w:ascii="Times New Roman"/>
          <w:b/>
          <w:i w:val="false"/>
          <w:color w:val="000000"/>
        </w:rPr>
        <w:t xml:space="preserve"> 
Article 4</w:t>
      </w:r>
    </w:p>
    <w:bookmarkEnd w:id="11"/>
    <w:bookmarkStart w:name="z20" w:id="12"/>
    <w:p>
      <w:pPr>
        <w:spacing w:after="0"/>
        <w:ind w:left="0"/>
        <w:jc w:val="both"/>
      </w:pPr>
      <w:r>
        <w:rPr>
          <w:rFonts w:ascii="Times New Roman"/>
          <w:b w:val="false"/>
          <w:i w:val="false"/>
          <w:color w:val="000000"/>
          <w:sz w:val="28"/>
        </w:rPr>
        <w:t>
      1. The competent authority shall assume responsibility for the administrative support of the procedures provided for in this Convention.</w:t>
      </w:r>
      <w:r>
        <w:br/>
      </w:r>
      <w:r>
        <w:rPr>
          <w:rFonts w:ascii="Times New Roman"/>
          <w:b w:val="false"/>
          <w:i w:val="false"/>
          <w:color w:val="000000"/>
          <w:sz w:val="28"/>
        </w:rPr>
        <w:t>
</w:t>
      </w:r>
      <w:r>
        <w:rPr>
          <w:rFonts w:ascii="Times New Roman"/>
          <w:b w:val="false"/>
          <w:i w:val="false"/>
          <w:color w:val="000000"/>
          <w:sz w:val="28"/>
        </w:rPr>
        <w:t>
      2. Appropriate arrangements shall be made between the competent authority and the representative organisations, where such organisations exist, for the financing of any necessary training of participants in these procedures.</w:t>
      </w:r>
    </w:p>
    <w:bookmarkEnd w:id="12"/>
    <w:bookmarkStart w:name="z22" w:id="13"/>
    <w:p>
      <w:pPr>
        <w:spacing w:after="0"/>
        <w:ind w:left="0"/>
        <w:jc w:val="left"/>
      </w:pPr>
      <w:r>
        <w:rPr>
          <w:rFonts w:ascii="Times New Roman"/>
          <w:b/>
          <w:i w:val="false"/>
          <w:color w:val="000000"/>
        </w:rPr>
        <w:t xml:space="preserve"> 
Article 5</w:t>
      </w:r>
    </w:p>
    <w:bookmarkEnd w:id="13"/>
    <w:bookmarkStart w:name="z23" w:id="14"/>
    <w:p>
      <w:pPr>
        <w:spacing w:after="0"/>
        <w:ind w:left="0"/>
        <w:jc w:val="both"/>
      </w:pPr>
      <w:r>
        <w:rPr>
          <w:rFonts w:ascii="Times New Roman"/>
          <w:b w:val="false"/>
          <w:i w:val="false"/>
          <w:color w:val="000000"/>
          <w:sz w:val="28"/>
        </w:rPr>
        <w:t xml:space="preserve">
      1. The purpose of the procedures provided for in this Convention shall be consultations on-- </w:t>
      </w:r>
      <w:r>
        <w:br/>
      </w:r>
      <w:r>
        <w:rPr>
          <w:rFonts w:ascii="Times New Roman"/>
          <w:b w:val="false"/>
          <w:i w:val="false"/>
          <w:color w:val="000000"/>
          <w:sz w:val="28"/>
        </w:rPr>
        <w:t>
</w:t>
      </w:r>
      <w:r>
        <w:rPr>
          <w:rFonts w:ascii="Times New Roman"/>
          <w:b w:val="false"/>
          <w:i w:val="false"/>
          <w:color w:val="000000"/>
          <w:sz w:val="28"/>
        </w:rPr>
        <w:t>
      (a) government replies to questionnaires concerning items on the agenda of the International Labour Conference and government comments on proposed texts to be discussed by the Conference;</w:t>
      </w:r>
      <w:r>
        <w:br/>
      </w:r>
      <w:r>
        <w:rPr>
          <w:rFonts w:ascii="Times New Roman"/>
          <w:b w:val="false"/>
          <w:i w:val="false"/>
          <w:color w:val="000000"/>
          <w:sz w:val="28"/>
        </w:rPr>
        <w:t>
</w:t>
      </w:r>
      <w:r>
        <w:rPr>
          <w:rFonts w:ascii="Times New Roman"/>
          <w:b w:val="false"/>
          <w:i w:val="false"/>
          <w:color w:val="000000"/>
          <w:sz w:val="28"/>
        </w:rPr>
        <w:t>
      (b) the proposals to be made to the competent authority or authorities in connection with the submission of Conventions and Recommendations pursuant to article 19 of the Constitution of the International Labour Organisation;</w:t>
      </w:r>
      <w:r>
        <w:br/>
      </w:r>
      <w:r>
        <w:rPr>
          <w:rFonts w:ascii="Times New Roman"/>
          <w:b w:val="false"/>
          <w:i w:val="false"/>
          <w:color w:val="000000"/>
          <w:sz w:val="28"/>
        </w:rPr>
        <w:t>
</w:t>
      </w:r>
      <w:r>
        <w:rPr>
          <w:rFonts w:ascii="Times New Roman"/>
          <w:b w:val="false"/>
          <w:i w:val="false"/>
          <w:color w:val="000000"/>
          <w:sz w:val="28"/>
        </w:rPr>
        <w:t>
      (c) the re-examination at appropriate intervals of unratified Conventions and of Recommendations to which effect has not yet been given, to consider what measures might be taken to promote their implementation and ratification as appropriate;</w:t>
      </w:r>
      <w:r>
        <w:br/>
      </w:r>
      <w:r>
        <w:rPr>
          <w:rFonts w:ascii="Times New Roman"/>
          <w:b w:val="false"/>
          <w:i w:val="false"/>
          <w:color w:val="000000"/>
          <w:sz w:val="28"/>
        </w:rPr>
        <w:t>
</w:t>
      </w:r>
      <w:r>
        <w:rPr>
          <w:rFonts w:ascii="Times New Roman"/>
          <w:b w:val="false"/>
          <w:i w:val="false"/>
          <w:color w:val="000000"/>
          <w:sz w:val="28"/>
        </w:rPr>
        <w:t>
      (d) questions arising out of reports to be made to the International Labour Office under Article 22 of the Constitution of the International Labour Organisation;</w:t>
      </w:r>
      <w:r>
        <w:br/>
      </w:r>
      <w:r>
        <w:rPr>
          <w:rFonts w:ascii="Times New Roman"/>
          <w:b w:val="false"/>
          <w:i w:val="false"/>
          <w:color w:val="000000"/>
          <w:sz w:val="28"/>
        </w:rPr>
        <w:t>
</w:t>
      </w:r>
      <w:r>
        <w:rPr>
          <w:rFonts w:ascii="Times New Roman"/>
          <w:b w:val="false"/>
          <w:i w:val="false"/>
          <w:color w:val="000000"/>
          <w:sz w:val="28"/>
        </w:rPr>
        <w:t>
      (e) proposals for the denunciation of ratified Conventions.</w:t>
      </w:r>
      <w:r>
        <w:br/>
      </w:r>
      <w:r>
        <w:rPr>
          <w:rFonts w:ascii="Times New Roman"/>
          <w:b w:val="false"/>
          <w:i w:val="false"/>
          <w:color w:val="000000"/>
          <w:sz w:val="28"/>
        </w:rPr>
        <w:t>
</w:t>
      </w:r>
      <w:r>
        <w:rPr>
          <w:rFonts w:ascii="Times New Roman"/>
          <w:b w:val="false"/>
          <w:i w:val="false"/>
          <w:color w:val="000000"/>
          <w:sz w:val="28"/>
        </w:rPr>
        <w:t>
      2. In order to ensure adequate consideration of the matters referred to in paragraph 1 of this Article, consultation shall be undertaken at appropriate intervals fixed by agreement, but at least once a year.</w:t>
      </w:r>
    </w:p>
    <w:bookmarkEnd w:id="14"/>
    <w:bookmarkStart w:name="z30" w:id="15"/>
    <w:p>
      <w:pPr>
        <w:spacing w:after="0"/>
        <w:ind w:left="0"/>
        <w:jc w:val="left"/>
      </w:pPr>
      <w:r>
        <w:rPr>
          <w:rFonts w:ascii="Times New Roman"/>
          <w:b/>
          <w:i w:val="false"/>
          <w:color w:val="000000"/>
        </w:rPr>
        <w:t xml:space="preserve"> 
Article 6</w:t>
      </w:r>
    </w:p>
    <w:bookmarkEnd w:id="15"/>
    <w:bookmarkStart w:name="z31" w:id="16"/>
    <w:p>
      <w:pPr>
        <w:spacing w:after="0"/>
        <w:ind w:left="0"/>
        <w:jc w:val="both"/>
      </w:pPr>
      <w:r>
        <w:rPr>
          <w:rFonts w:ascii="Times New Roman"/>
          <w:b w:val="false"/>
          <w:i w:val="false"/>
          <w:color w:val="000000"/>
          <w:sz w:val="28"/>
        </w:rPr>
        <w:t>
      When this is considered appropriate after consultation with the representative organisations, where such organisations exist, the competent authority shall issue an annual report on the working of the procedures provided for in this Convention.</w:t>
      </w:r>
    </w:p>
    <w:bookmarkEnd w:id="16"/>
    <w:bookmarkStart w:name="z32" w:id="17"/>
    <w:p>
      <w:pPr>
        <w:spacing w:after="0"/>
        <w:ind w:left="0"/>
        <w:jc w:val="left"/>
      </w:pPr>
      <w:r>
        <w:rPr>
          <w:rFonts w:ascii="Times New Roman"/>
          <w:b/>
          <w:i w:val="false"/>
          <w:color w:val="000000"/>
        </w:rPr>
        <w:t xml:space="preserve"> 
Article 7</w:t>
      </w:r>
    </w:p>
    <w:bookmarkEnd w:id="17"/>
    <w:bookmarkStart w:name="z33" w:id="18"/>
    <w:p>
      <w:pPr>
        <w:spacing w:after="0"/>
        <w:ind w:left="0"/>
        <w:jc w:val="both"/>
      </w:pPr>
      <w:r>
        <w:rPr>
          <w:rFonts w:ascii="Times New Roman"/>
          <w:b w:val="false"/>
          <w:i w:val="false"/>
          <w:color w:val="000000"/>
          <w:sz w:val="28"/>
        </w:rPr>
        <w:t>
      The formal ratifications of this Convention shall be communicated to the Director-General of the International Labour Office for registration.</w:t>
      </w:r>
    </w:p>
    <w:bookmarkEnd w:id="18"/>
    <w:bookmarkStart w:name="z34" w:id="19"/>
    <w:p>
      <w:pPr>
        <w:spacing w:after="0"/>
        <w:ind w:left="0"/>
        <w:jc w:val="left"/>
      </w:pPr>
      <w:r>
        <w:rPr>
          <w:rFonts w:ascii="Times New Roman"/>
          <w:b/>
          <w:i w:val="false"/>
          <w:color w:val="000000"/>
        </w:rPr>
        <w:t xml:space="preserve"> 
Article 8</w:t>
      </w:r>
    </w:p>
    <w:bookmarkEnd w:id="19"/>
    <w:bookmarkStart w:name="z35" w:id="20"/>
    <w:p>
      <w:pPr>
        <w:spacing w:after="0"/>
        <w:ind w:left="0"/>
        <w:jc w:val="both"/>
      </w:pPr>
      <w:r>
        <w:rPr>
          <w:rFonts w:ascii="Times New Roman"/>
          <w:b w:val="false"/>
          <w:i w:val="false"/>
          <w:color w:val="000000"/>
          <w:sz w:val="28"/>
        </w:rPr>
        <w:t>
      1. This Convention shall be binding only upon those Members of the International Labour Organisation whose ratifications have been registered with the Director-General.</w:t>
      </w:r>
      <w:r>
        <w:br/>
      </w:r>
      <w:r>
        <w:rPr>
          <w:rFonts w:ascii="Times New Roman"/>
          <w:b w:val="false"/>
          <w:i w:val="false"/>
          <w:color w:val="000000"/>
          <w:sz w:val="28"/>
        </w:rPr>
        <w:t>
</w:t>
      </w:r>
      <w:r>
        <w:rPr>
          <w:rFonts w:ascii="Times New Roman"/>
          <w:b w:val="false"/>
          <w:i w:val="false"/>
          <w:color w:val="000000"/>
          <w:sz w:val="28"/>
        </w:rPr>
        <w:t>
      2. It shall come into force twelve months after the date on which the ratifications of two Members have been registered with the Director-General.</w:t>
      </w:r>
      <w:r>
        <w:br/>
      </w:r>
      <w:r>
        <w:rPr>
          <w:rFonts w:ascii="Times New Roman"/>
          <w:b w:val="false"/>
          <w:i w:val="false"/>
          <w:color w:val="000000"/>
          <w:sz w:val="28"/>
        </w:rPr>
        <w:t>
</w:t>
      </w:r>
      <w:r>
        <w:rPr>
          <w:rFonts w:ascii="Times New Roman"/>
          <w:b w:val="false"/>
          <w:i w:val="false"/>
          <w:color w:val="000000"/>
          <w:sz w:val="28"/>
        </w:rPr>
        <w:t>
      3. Thereafter, this Convention shall come into force for any Member twelve months after the date on which its ratification has been registered.</w:t>
      </w:r>
    </w:p>
    <w:bookmarkEnd w:id="20"/>
    <w:bookmarkStart w:name="z38" w:id="21"/>
    <w:p>
      <w:pPr>
        <w:spacing w:after="0"/>
        <w:ind w:left="0"/>
        <w:jc w:val="left"/>
      </w:pPr>
      <w:r>
        <w:rPr>
          <w:rFonts w:ascii="Times New Roman"/>
          <w:b/>
          <w:i w:val="false"/>
          <w:color w:val="000000"/>
        </w:rPr>
        <w:t xml:space="preserve"> 
Article 9</w:t>
      </w:r>
    </w:p>
    <w:bookmarkEnd w:id="21"/>
    <w:bookmarkStart w:name="z39" w:id="22"/>
    <w:p>
      <w:pPr>
        <w:spacing w:after="0"/>
        <w:ind w:left="0"/>
        <w:jc w:val="both"/>
      </w:pPr>
      <w:r>
        <w:rPr>
          <w:rFonts w:ascii="Times New Roman"/>
          <w:b w:val="false"/>
          <w:i w:val="false"/>
          <w:color w:val="000000"/>
          <w:sz w:val="28"/>
        </w:rPr>
        <w:t>
      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r>
        <w:br/>
      </w:r>
      <w:r>
        <w:rPr>
          <w:rFonts w:ascii="Times New Roman"/>
          <w:b w:val="false"/>
          <w:i w:val="false"/>
          <w:color w:val="000000"/>
          <w:sz w:val="28"/>
        </w:rPr>
        <w:t>
</w:t>
      </w:r>
      <w:r>
        <w:rPr>
          <w:rFonts w:ascii="Times New Roman"/>
          <w:b w:val="false"/>
          <w:i w:val="false"/>
          <w:color w:val="000000"/>
          <w:sz w:val="28"/>
        </w:rPr>
        <w:t>
      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bookmarkEnd w:id="22"/>
    <w:bookmarkStart w:name="z41" w:id="23"/>
    <w:p>
      <w:pPr>
        <w:spacing w:after="0"/>
        <w:ind w:left="0"/>
        <w:jc w:val="left"/>
      </w:pPr>
      <w:r>
        <w:rPr>
          <w:rFonts w:ascii="Times New Roman"/>
          <w:b/>
          <w:i w:val="false"/>
          <w:color w:val="000000"/>
        </w:rPr>
        <w:t xml:space="preserve"> 
Article 10</w:t>
      </w:r>
    </w:p>
    <w:bookmarkEnd w:id="23"/>
    <w:bookmarkStart w:name="z42" w:id="24"/>
    <w:p>
      <w:pPr>
        <w:spacing w:after="0"/>
        <w:ind w:left="0"/>
        <w:jc w:val="both"/>
      </w:pPr>
      <w:r>
        <w:rPr>
          <w:rFonts w:ascii="Times New Roman"/>
          <w:b w:val="false"/>
          <w:i w:val="false"/>
          <w:color w:val="000000"/>
          <w:sz w:val="28"/>
        </w:rPr>
        <w:t>
      1. The Director-General of the International Labour Office shall notify all Members of the International Labour Organisation of the registration of all ratifications and denunciations communicated to him by the Members of the Organisation.</w:t>
      </w:r>
      <w:r>
        <w:br/>
      </w:r>
      <w:r>
        <w:rPr>
          <w:rFonts w:ascii="Times New Roman"/>
          <w:b w:val="false"/>
          <w:i w:val="false"/>
          <w:color w:val="000000"/>
          <w:sz w:val="28"/>
        </w:rPr>
        <w:t>
</w:t>
      </w:r>
      <w:r>
        <w:rPr>
          <w:rFonts w:ascii="Times New Roman"/>
          <w:b w:val="false"/>
          <w:i w:val="false"/>
          <w:color w:val="000000"/>
          <w:sz w:val="28"/>
        </w:rPr>
        <w:t>
      2. When notifying the Members of the Organisation of the registration of the second ratification communicated to him, the Director-General shall draw the attention of the Members of the Organisation to the date upon which the Convention will come into force.</w:t>
      </w:r>
    </w:p>
    <w:bookmarkEnd w:id="24"/>
    <w:bookmarkStart w:name="z44" w:id="25"/>
    <w:p>
      <w:pPr>
        <w:spacing w:after="0"/>
        <w:ind w:left="0"/>
        <w:jc w:val="left"/>
      </w:pPr>
      <w:r>
        <w:rPr>
          <w:rFonts w:ascii="Times New Roman"/>
          <w:b/>
          <w:i w:val="false"/>
          <w:color w:val="000000"/>
        </w:rPr>
        <w:t xml:space="preserve"> 
Article 11</w:t>
      </w:r>
    </w:p>
    <w:bookmarkEnd w:id="25"/>
    <w:bookmarkStart w:name="z45" w:id="26"/>
    <w:p>
      <w:pPr>
        <w:spacing w:after="0"/>
        <w:ind w:left="0"/>
        <w:jc w:val="both"/>
      </w:pPr>
      <w:r>
        <w:rPr>
          <w:rFonts w:ascii="Times New Roman"/>
          <w:b w:val="false"/>
          <w:i w:val="false"/>
          <w:color w:val="000000"/>
          <w:sz w:val="28"/>
        </w:rPr>
        <w:t>
      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bookmarkEnd w:id="26"/>
    <w:bookmarkStart w:name="z46" w:id="27"/>
    <w:p>
      <w:pPr>
        <w:spacing w:after="0"/>
        <w:ind w:left="0"/>
        <w:jc w:val="left"/>
      </w:pPr>
      <w:r>
        <w:rPr>
          <w:rFonts w:ascii="Times New Roman"/>
          <w:b/>
          <w:i w:val="false"/>
          <w:color w:val="000000"/>
        </w:rPr>
        <w:t xml:space="preserve"> 
Article 12</w:t>
      </w:r>
    </w:p>
    <w:bookmarkEnd w:id="27"/>
    <w:bookmarkStart w:name="z47" w:id="28"/>
    <w:p>
      <w:pPr>
        <w:spacing w:after="0"/>
        <w:ind w:left="0"/>
        <w:jc w:val="both"/>
      </w:pPr>
      <w:r>
        <w:rPr>
          <w:rFonts w:ascii="Times New Roman"/>
          <w:b w:val="false"/>
          <w:i w:val="false"/>
          <w:color w:val="000000"/>
          <w:sz w:val="28"/>
        </w:rPr>
        <w:t>
      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bookmarkEnd w:id="28"/>
    <w:bookmarkStart w:name="z48" w:id="29"/>
    <w:p>
      <w:pPr>
        <w:spacing w:after="0"/>
        <w:ind w:left="0"/>
        <w:jc w:val="left"/>
      </w:pPr>
      <w:r>
        <w:rPr>
          <w:rFonts w:ascii="Times New Roman"/>
          <w:b/>
          <w:i w:val="false"/>
          <w:color w:val="000000"/>
        </w:rPr>
        <w:t xml:space="preserve"> 
Article 13</w:t>
      </w:r>
    </w:p>
    <w:bookmarkEnd w:id="29"/>
    <w:bookmarkStart w:name="z49" w:id="30"/>
    <w:p>
      <w:pPr>
        <w:spacing w:after="0"/>
        <w:ind w:left="0"/>
        <w:jc w:val="both"/>
      </w:pPr>
      <w:r>
        <w:rPr>
          <w:rFonts w:ascii="Times New Roman"/>
          <w:b w:val="false"/>
          <w:i w:val="false"/>
          <w:color w:val="000000"/>
          <w:sz w:val="28"/>
        </w:rPr>
        <w:t xml:space="preserve">
      1. Should the Conference adopt a new Convention revising this Convention in whole or in part, then, unless the new Convention otherwise provides: </w:t>
      </w:r>
      <w:r>
        <w:br/>
      </w:r>
      <w:r>
        <w:rPr>
          <w:rFonts w:ascii="Times New Roman"/>
          <w:b w:val="false"/>
          <w:i w:val="false"/>
          <w:color w:val="000000"/>
          <w:sz w:val="28"/>
        </w:rPr>
        <w:t>
</w:t>
      </w:r>
      <w:r>
        <w:rPr>
          <w:rFonts w:ascii="Times New Roman"/>
          <w:b w:val="false"/>
          <w:i w:val="false"/>
          <w:color w:val="000000"/>
          <w:sz w:val="28"/>
        </w:rPr>
        <w:t>
      (a) the ratification by a Member of the new revising Convention shall ipso jure involve the immediate denunciation of this Convention, notwithstanding the provisions of Article 9 above, if and when the new revising Convention shall have come into force;</w:t>
      </w:r>
      <w:r>
        <w:br/>
      </w:r>
      <w:r>
        <w:rPr>
          <w:rFonts w:ascii="Times New Roman"/>
          <w:b w:val="false"/>
          <w:i w:val="false"/>
          <w:color w:val="000000"/>
          <w:sz w:val="28"/>
        </w:rPr>
        <w:t>
</w:t>
      </w:r>
      <w:r>
        <w:rPr>
          <w:rFonts w:ascii="Times New Roman"/>
          <w:b w:val="false"/>
          <w:i w:val="false"/>
          <w:color w:val="000000"/>
          <w:sz w:val="28"/>
        </w:rPr>
        <w:t>
      (b) as from the date when the new revising Convention comes into force this Convention shall cease to be open to ratification by the Members.</w:t>
      </w:r>
      <w:r>
        <w:br/>
      </w:r>
      <w:r>
        <w:rPr>
          <w:rFonts w:ascii="Times New Roman"/>
          <w:b w:val="false"/>
          <w:i w:val="false"/>
          <w:color w:val="000000"/>
          <w:sz w:val="28"/>
        </w:rPr>
        <w:t>
</w:t>
      </w:r>
      <w:r>
        <w:rPr>
          <w:rFonts w:ascii="Times New Roman"/>
          <w:b w:val="false"/>
          <w:i w:val="false"/>
          <w:color w:val="000000"/>
          <w:sz w:val="28"/>
        </w:rPr>
        <w:t>
      2. This Convention shall in any case remain in force in its actual form and content for those Members which have ratified it but have not ratified the revising Convention.</w:t>
      </w:r>
    </w:p>
    <w:bookmarkEnd w:id="30"/>
    <w:bookmarkStart w:name="z53" w:id="31"/>
    <w:p>
      <w:pPr>
        <w:spacing w:after="0"/>
        <w:ind w:left="0"/>
        <w:jc w:val="left"/>
      </w:pPr>
      <w:r>
        <w:rPr>
          <w:rFonts w:ascii="Times New Roman"/>
          <w:b/>
          <w:i w:val="false"/>
          <w:color w:val="000000"/>
        </w:rPr>
        <w:t xml:space="preserve"> 
Article 14</w:t>
      </w:r>
    </w:p>
    <w:bookmarkEnd w:id="31"/>
    <w:bookmarkStart w:name="z54" w:id="32"/>
    <w:p>
      <w:pPr>
        <w:spacing w:after="0"/>
        <w:ind w:left="0"/>
        <w:jc w:val="both"/>
      </w:pPr>
      <w:r>
        <w:rPr>
          <w:rFonts w:ascii="Times New Roman"/>
          <w:b w:val="false"/>
          <w:i w:val="false"/>
          <w:color w:val="000000"/>
          <w:sz w:val="28"/>
        </w:rPr>
        <w:t>
      The English and French versions of the text of this Convention are equally authoritative.</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