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5e04" w14:textId="5435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on the Political Rights of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30 December 1999</w:t>
      </w:r>
    </w:p>
    <w:p>
      <w:pPr>
        <w:spacing w:after="0"/>
        <w:ind w:left="0"/>
        <w:jc w:val="both"/>
      </w:pPr>
      <w:bookmarkStart w:name="z1" w:id="0"/>
      <w:r>
        <w:rPr>
          <w:rFonts w:ascii="Times New Roman"/>
          <w:b w:val="false"/>
          <w:i w:val="false"/>
          <w:color w:val="000000"/>
          <w:sz w:val="28"/>
        </w:rPr>
        <w:t xml:space="preserve">
      To accede the Convention on the Political Rights of Women adopted opened for signature and ratification by the resolution 640 (VII) of the UN General Assembly of 20 December 1952.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w:t>
      </w:r>
    </w:p>
    <w:bookmarkStart w:name="z2" w:id="1"/>
    <w:p>
      <w:pPr>
        <w:spacing w:after="0"/>
        <w:ind w:left="0"/>
        <w:jc w:val="left"/>
      </w:pPr>
      <w:r>
        <w:rPr>
          <w:rFonts w:ascii="Times New Roman"/>
          <w:b/>
          <w:i w:val="false"/>
          <w:color w:val="000000"/>
        </w:rPr>
        <w:t xml:space="preserve"> 
Convention on the Political Rights of Women</w:t>
      </w:r>
    </w:p>
    <w:bookmarkEnd w:id="1"/>
    <w:bookmarkStart w:name="z3" w:id="2"/>
    <w:p>
      <w:pPr>
        <w:spacing w:after="0"/>
        <w:ind w:left="0"/>
        <w:jc w:val="left"/>
      </w:pPr>
      <w:r>
        <w:rPr>
          <w:rFonts w:ascii="Times New Roman"/>
          <w:b/>
          <w:i w:val="false"/>
          <w:color w:val="000000"/>
        </w:rPr>
        <w:t xml:space="preserve"> 
31 March 1953</w:t>
      </w:r>
    </w:p>
    <w:bookmarkEnd w:id="2"/>
    <w:bookmarkStart w:name="z4" w:id="3"/>
    <w:p>
      <w:pPr>
        <w:spacing w:after="0"/>
        <w:ind w:left="0"/>
        <w:jc w:val="both"/>
      </w:pPr>
      <w:r>
        <w:rPr>
          <w:rFonts w:ascii="Times New Roman"/>
          <w:b w:val="false"/>
          <w:i w:val="false"/>
          <w:color w:val="000000"/>
          <w:sz w:val="28"/>
        </w:rPr>
        <w:t>
      The Contracting Parties,</w:t>
      </w:r>
      <w:r>
        <w:br/>
      </w:r>
      <w:r>
        <w:rPr>
          <w:rFonts w:ascii="Times New Roman"/>
          <w:b w:val="false"/>
          <w:i w:val="false"/>
          <w:color w:val="000000"/>
          <w:sz w:val="28"/>
        </w:rPr>
        <w:t>
</w:t>
      </w:r>
      <w:r>
        <w:rPr>
          <w:rFonts w:ascii="Times New Roman"/>
          <w:b w:val="false"/>
          <w:i w:val="false"/>
          <w:color w:val="000000"/>
          <w:sz w:val="28"/>
        </w:rPr>
        <w:t>
      Desiring to implement the principle of equality of rights for men and women contained in the Charter of the United Nations,</w:t>
      </w:r>
      <w:r>
        <w:br/>
      </w:r>
      <w:r>
        <w:rPr>
          <w:rFonts w:ascii="Times New Roman"/>
          <w:b w:val="false"/>
          <w:i w:val="false"/>
          <w:color w:val="000000"/>
          <w:sz w:val="28"/>
        </w:rPr>
        <w:t>
</w:t>
      </w:r>
      <w:r>
        <w:rPr>
          <w:rFonts w:ascii="Times New Roman"/>
          <w:b w:val="false"/>
          <w:i w:val="false"/>
          <w:color w:val="000000"/>
          <w:sz w:val="28"/>
        </w:rPr>
        <w:t>
      Recognizing that everyone has the right to take part in the government of his country directly or indirectly through freely chosen representatives, and has the right to equal access to public service in his country, and desiring to equalize the status of men and women in the enjoyment and exercise of political rights, in accordance with the provisions of the Charter of the United Nations and of the Universal Declaration of Human Rights,</w:t>
      </w:r>
      <w:r>
        <w:br/>
      </w:r>
      <w:r>
        <w:rPr>
          <w:rFonts w:ascii="Times New Roman"/>
          <w:b w:val="false"/>
          <w:i w:val="false"/>
          <w:color w:val="000000"/>
          <w:sz w:val="28"/>
        </w:rPr>
        <w:t>
</w:t>
      </w:r>
      <w:r>
        <w:rPr>
          <w:rFonts w:ascii="Times New Roman"/>
          <w:b w:val="false"/>
          <w:i w:val="false"/>
          <w:color w:val="000000"/>
          <w:sz w:val="28"/>
        </w:rPr>
        <w:t>
      Having resolved to conclude a Convention for this purpose,</w:t>
      </w:r>
      <w:r>
        <w:br/>
      </w:r>
      <w:r>
        <w:rPr>
          <w:rFonts w:ascii="Times New Roman"/>
          <w:b w:val="false"/>
          <w:i w:val="false"/>
          <w:color w:val="000000"/>
          <w:sz w:val="28"/>
        </w:rPr>
        <w:t>
</w:t>
      </w:r>
      <w:r>
        <w:rPr>
          <w:rFonts w:ascii="Times New Roman"/>
          <w:b w:val="false"/>
          <w:i w:val="false"/>
          <w:color w:val="000000"/>
          <w:sz w:val="28"/>
        </w:rPr>
        <w:t>
      Hereby agree as hereinafter provided:</w:t>
      </w:r>
    </w:p>
    <w:bookmarkEnd w:id="3"/>
    <w:bookmarkStart w:name="z9" w:id="4"/>
    <w:p>
      <w:pPr>
        <w:spacing w:after="0"/>
        <w:ind w:left="0"/>
        <w:jc w:val="left"/>
      </w:pPr>
      <w:r>
        <w:rPr>
          <w:rFonts w:ascii="Times New Roman"/>
          <w:b/>
          <w:i w:val="false"/>
          <w:color w:val="000000"/>
        </w:rPr>
        <w:t xml:space="preserve"> 
Article 1</w:t>
      </w:r>
    </w:p>
    <w:bookmarkEnd w:id="4"/>
    <w:bookmarkStart w:name="z10" w:id="5"/>
    <w:p>
      <w:pPr>
        <w:spacing w:after="0"/>
        <w:ind w:left="0"/>
        <w:jc w:val="both"/>
      </w:pPr>
      <w:r>
        <w:rPr>
          <w:rFonts w:ascii="Times New Roman"/>
          <w:b w:val="false"/>
          <w:i w:val="false"/>
          <w:color w:val="000000"/>
          <w:sz w:val="28"/>
        </w:rPr>
        <w:t>
      Women shall be entitled to vote in all elections on equal terms with men, without any discrimination.</w:t>
      </w:r>
    </w:p>
    <w:bookmarkEnd w:id="5"/>
    <w:bookmarkStart w:name="z11" w:id="6"/>
    <w:p>
      <w:pPr>
        <w:spacing w:after="0"/>
        <w:ind w:left="0"/>
        <w:jc w:val="left"/>
      </w:pPr>
      <w:r>
        <w:rPr>
          <w:rFonts w:ascii="Times New Roman"/>
          <w:b/>
          <w:i w:val="false"/>
          <w:color w:val="000000"/>
        </w:rPr>
        <w:t xml:space="preserve"> 
Article 2</w:t>
      </w:r>
    </w:p>
    <w:bookmarkEnd w:id="6"/>
    <w:bookmarkStart w:name="z12" w:id="7"/>
    <w:p>
      <w:pPr>
        <w:spacing w:after="0"/>
        <w:ind w:left="0"/>
        <w:jc w:val="both"/>
      </w:pPr>
      <w:r>
        <w:rPr>
          <w:rFonts w:ascii="Times New Roman"/>
          <w:b w:val="false"/>
          <w:i w:val="false"/>
          <w:color w:val="000000"/>
          <w:sz w:val="28"/>
        </w:rPr>
        <w:t>
      Women shall be eligible for election to all publicly elected bodies, established by national law, on equal terms with men, without any discrimination.</w:t>
      </w:r>
    </w:p>
    <w:bookmarkEnd w:id="7"/>
    <w:bookmarkStart w:name="z13" w:id="8"/>
    <w:p>
      <w:pPr>
        <w:spacing w:after="0"/>
        <w:ind w:left="0"/>
        <w:jc w:val="left"/>
      </w:pPr>
      <w:r>
        <w:rPr>
          <w:rFonts w:ascii="Times New Roman"/>
          <w:b/>
          <w:i w:val="false"/>
          <w:color w:val="000000"/>
        </w:rPr>
        <w:t xml:space="preserve"> 
Article 3</w:t>
      </w:r>
    </w:p>
    <w:bookmarkEnd w:id="8"/>
    <w:bookmarkStart w:name="z14" w:id="9"/>
    <w:p>
      <w:pPr>
        <w:spacing w:after="0"/>
        <w:ind w:left="0"/>
        <w:jc w:val="both"/>
      </w:pPr>
      <w:r>
        <w:rPr>
          <w:rFonts w:ascii="Times New Roman"/>
          <w:b w:val="false"/>
          <w:i w:val="false"/>
          <w:color w:val="000000"/>
          <w:sz w:val="28"/>
        </w:rPr>
        <w:t>
      Women shall be entitled to hold public office and to exercise all public functions, established by national law, on equal terms with men, without any discrimination.</w:t>
      </w:r>
    </w:p>
    <w:bookmarkEnd w:id="9"/>
    <w:bookmarkStart w:name="z15" w:id="10"/>
    <w:p>
      <w:pPr>
        <w:spacing w:after="0"/>
        <w:ind w:left="0"/>
        <w:jc w:val="left"/>
      </w:pPr>
      <w:r>
        <w:rPr>
          <w:rFonts w:ascii="Times New Roman"/>
          <w:b/>
          <w:i w:val="false"/>
          <w:color w:val="000000"/>
        </w:rPr>
        <w:t xml:space="preserve"> 
Article 4</w:t>
      </w:r>
    </w:p>
    <w:bookmarkEnd w:id="10"/>
    <w:bookmarkStart w:name="z16" w:id="11"/>
    <w:p>
      <w:pPr>
        <w:spacing w:after="0"/>
        <w:ind w:left="0"/>
        <w:jc w:val="both"/>
      </w:pPr>
      <w:r>
        <w:rPr>
          <w:rFonts w:ascii="Times New Roman"/>
          <w:b w:val="false"/>
          <w:i w:val="false"/>
          <w:color w:val="000000"/>
          <w:sz w:val="28"/>
        </w:rPr>
        <w:t>
      1. This Convention shall be open for signature on behalf of any Member of the United Nations and also on behalf of any other State to which an invitation has been addressed by the General Assembly.</w:t>
      </w:r>
      <w:r>
        <w:br/>
      </w:r>
      <w:r>
        <w:rPr>
          <w:rFonts w:ascii="Times New Roman"/>
          <w:b w:val="false"/>
          <w:i w:val="false"/>
          <w:color w:val="000000"/>
          <w:sz w:val="28"/>
        </w:rPr>
        <w:t>
</w:t>
      </w:r>
      <w:r>
        <w:rPr>
          <w:rFonts w:ascii="Times New Roman"/>
          <w:b w:val="false"/>
          <w:i w:val="false"/>
          <w:color w:val="000000"/>
          <w:sz w:val="28"/>
        </w:rPr>
        <w:t>
      2. This Convention shall be ratified and the instruments of ratification shall be deposited with the Secretary-General of the United Nations.</w:t>
      </w:r>
    </w:p>
    <w:bookmarkEnd w:id="11"/>
    <w:bookmarkStart w:name="z18" w:id="12"/>
    <w:p>
      <w:pPr>
        <w:spacing w:after="0"/>
        <w:ind w:left="0"/>
        <w:jc w:val="left"/>
      </w:pPr>
      <w:r>
        <w:rPr>
          <w:rFonts w:ascii="Times New Roman"/>
          <w:b/>
          <w:i w:val="false"/>
          <w:color w:val="000000"/>
        </w:rPr>
        <w:t xml:space="preserve"> 
Article 5</w:t>
      </w:r>
    </w:p>
    <w:bookmarkEnd w:id="12"/>
    <w:bookmarkStart w:name="z19" w:id="13"/>
    <w:p>
      <w:pPr>
        <w:spacing w:after="0"/>
        <w:ind w:left="0"/>
        <w:jc w:val="both"/>
      </w:pPr>
      <w:r>
        <w:rPr>
          <w:rFonts w:ascii="Times New Roman"/>
          <w:b w:val="false"/>
          <w:i w:val="false"/>
          <w:color w:val="000000"/>
          <w:sz w:val="28"/>
        </w:rPr>
        <w:t>
      1. This Convention shall be open for accession to all States referred to in paragraph I of article IV.</w:t>
      </w:r>
      <w:r>
        <w:br/>
      </w:r>
      <w:r>
        <w:rPr>
          <w:rFonts w:ascii="Times New Roman"/>
          <w:b w:val="false"/>
          <w:i w:val="false"/>
          <w:color w:val="000000"/>
          <w:sz w:val="28"/>
        </w:rPr>
        <w:t>
</w:t>
      </w:r>
      <w:r>
        <w:rPr>
          <w:rFonts w:ascii="Times New Roman"/>
          <w:b w:val="false"/>
          <w:i w:val="false"/>
          <w:color w:val="000000"/>
          <w:sz w:val="28"/>
        </w:rPr>
        <w:t>
      2. Accession shall be effected by the deposit of an instrument of accession with the Secretary-General of the United Nations.</w:t>
      </w:r>
    </w:p>
    <w:bookmarkEnd w:id="13"/>
    <w:bookmarkStart w:name="z21" w:id="14"/>
    <w:p>
      <w:pPr>
        <w:spacing w:after="0"/>
        <w:ind w:left="0"/>
        <w:jc w:val="left"/>
      </w:pPr>
      <w:r>
        <w:rPr>
          <w:rFonts w:ascii="Times New Roman"/>
          <w:b/>
          <w:i w:val="false"/>
          <w:color w:val="000000"/>
        </w:rPr>
        <w:t xml:space="preserve"> 
Article 6</w:t>
      </w:r>
    </w:p>
    <w:bookmarkEnd w:id="14"/>
    <w:bookmarkStart w:name="z22" w:id="15"/>
    <w:p>
      <w:pPr>
        <w:spacing w:after="0"/>
        <w:ind w:left="0"/>
        <w:jc w:val="both"/>
      </w:pPr>
      <w:r>
        <w:rPr>
          <w:rFonts w:ascii="Times New Roman"/>
          <w:b w:val="false"/>
          <w:i w:val="false"/>
          <w:color w:val="000000"/>
          <w:sz w:val="28"/>
        </w:rPr>
        <w:t>
      1. This Convention shall come into force on the ninetieth day following the date of deposit of the sixth instrument of ratification or accession.</w:t>
      </w:r>
      <w:r>
        <w:br/>
      </w:r>
      <w:r>
        <w:rPr>
          <w:rFonts w:ascii="Times New Roman"/>
          <w:b w:val="false"/>
          <w:i w:val="false"/>
          <w:color w:val="000000"/>
          <w:sz w:val="28"/>
        </w:rPr>
        <w:t>
      2. For each State ratifying or acceding to the Convention after the deposit of the sixth instrument of ratification or accession the Convention shall enter into force on the ninetieth day after deposit by such State of its instrument of ratification or accession.</w:t>
      </w:r>
    </w:p>
    <w:bookmarkEnd w:id="15"/>
    <w:bookmarkStart w:name="z23" w:id="16"/>
    <w:p>
      <w:pPr>
        <w:spacing w:after="0"/>
        <w:ind w:left="0"/>
        <w:jc w:val="left"/>
      </w:pPr>
      <w:r>
        <w:rPr>
          <w:rFonts w:ascii="Times New Roman"/>
          <w:b/>
          <w:i w:val="false"/>
          <w:color w:val="000000"/>
        </w:rPr>
        <w:t xml:space="preserve"> 
Article 7</w:t>
      </w:r>
    </w:p>
    <w:bookmarkEnd w:id="16"/>
    <w:bookmarkStart w:name="z24" w:id="17"/>
    <w:p>
      <w:pPr>
        <w:spacing w:after="0"/>
        <w:ind w:left="0"/>
        <w:jc w:val="both"/>
      </w:pPr>
      <w:r>
        <w:rPr>
          <w:rFonts w:ascii="Times New Roman"/>
          <w:b w:val="false"/>
          <w:i w:val="false"/>
          <w:color w:val="000000"/>
          <w:sz w:val="28"/>
        </w:rPr>
        <w:t>
      In the event that any State submits a reservation to any of the articles of this Convention at the time of signature, ratification or accession, the Secretary-General shall communicate the text of the reservation to all States which are or may become Parties to this Convention. Any State which objects to the reservation may, within a period of ninety days from the date of the said communication (or upon the date of its becoming a Party to the Convention), notify the Secretary-General that it does not accept it. In such case, the Convention shall not enter into force as between such State and the State making the reservation.</w:t>
      </w:r>
    </w:p>
    <w:bookmarkEnd w:id="17"/>
    <w:bookmarkStart w:name="z25" w:id="18"/>
    <w:p>
      <w:pPr>
        <w:spacing w:after="0"/>
        <w:ind w:left="0"/>
        <w:jc w:val="left"/>
      </w:pPr>
      <w:r>
        <w:rPr>
          <w:rFonts w:ascii="Times New Roman"/>
          <w:b/>
          <w:i w:val="false"/>
          <w:color w:val="000000"/>
        </w:rPr>
        <w:t xml:space="preserve"> 
Article 8</w:t>
      </w:r>
    </w:p>
    <w:bookmarkEnd w:id="18"/>
    <w:bookmarkStart w:name="z26" w:id="19"/>
    <w:p>
      <w:pPr>
        <w:spacing w:after="0"/>
        <w:ind w:left="0"/>
        <w:jc w:val="both"/>
      </w:pPr>
      <w:r>
        <w:rPr>
          <w:rFonts w:ascii="Times New Roman"/>
          <w:b w:val="false"/>
          <w:i w:val="false"/>
          <w:color w:val="000000"/>
          <w:sz w:val="28"/>
        </w:rPr>
        <w:t>
      1. Any State may denounce this Convention by written notification to the Secretary-General of the United Nations. Denunciation shall take effect one year after the date of receipt of the notification by the Secretary General.</w:t>
      </w:r>
      <w:r>
        <w:br/>
      </w:r>
      <w:r>
        <w:rPr>
          <w:rFonts w:ascii="Times New Roman"/>
          <w:b w:val="false"/>
          <w:i w:val="false"/>
          <w:color w:val="000000"/>
          <w:sz w:val="28"/>
        </w:rPr>
        <w:t>
</w:t>
      </w:r>
      <w:r>
        <w:rPr>
          <w:rFonts w:ascii="Times New Roman"/>
          <w:b w:val="false"/>
          <w:i w:val="false"/>
          <w:color w:val="000000"/>
          <w:sz w:val="28"/>
        </w:rPr>
        <w:t>
      2. This Convention shall cease to be in force as from the date when the denunciation which reduces the number of Parties to less than six becomes effective.</w:t>
      </w:r>
    </w:p>
    <w:bookmarkEnd w:id="19"/>
    <w:bookmarkStart w:name="z28" w:id="20"/>
    <w:p>
      <w:pPr>
        <w:spacing w:after="0"/>
        <w:ind w:left="0"/>
        <w:jc w:val="left"/>
      </w:pPr>
      <w:r>
        <w:rPr>
          <w:rFonts w:ascii="Times New Roman"/>
          <w:b/>
          <w:i w:val="false"/>
          <w:color w:val="000000"/>
        </w:rPr>
        <w:t xml:space="preserve"> 
Article 9</w:t>
      </w:r>
    </w:p>
    <w:bookmarkEnd w:id="20"/>
    <w:bookmarkStart w:name="z29" w:id="21"/>
    <w:p>
      <w:pPr>
        <w:spacing w:after="0"/>
        <w:ind w:left="0"/>
        <w:jc w:val="both"/>
      </w:pPr>
      <w:r>
        <w:rPr>
          <w:rFonts w:ascii="Times New Roman"/>
          <w:b w:val="false"/>
          <w:i w:val="false"/>
          <w:color w:val="000000"/>
          <w:sz w:val="28"/>
        </w:rPr>
        <w:t>
      Any dispute which may arise between any two or more Contracting States concerning the interpretation or application of this Convention, which is not settled by negotiation, shall at the request of any one of the parties to the dispute be referred to the International Court of Justice for decision, unless they agree to another mode of settlement.</w:t>
      </w:r>
    </w:p>
    <w:bookmarkEnd w:id="21"/>
    <w:bookmarkStart w:name="z30" w:id="22"/>
    <w:p>
      <w:pPr>
        <w:spacing w:after="0"/>
        <w:ind w:left="0"/>
        <w:jc w:val="left"/>
      </w:pPr>
      <w:r>
        <w:rPr>
          <w:rFonts w:ascii="Times New Roman"/>
          <w:b/>
          <w:i w:val="false"/>
          <w:color w:val="000000"/>
        </w:rPr>
        <w:t xml:space="preserve"> 
Article 10</w:t>
      </w:r>
    </w:p>
    <w:bookmarkEnd w:id="22"/>
    <w:bookmarkStart w:name="z31" w:id="23"/>
    <w:p>
      <w:pPr>
        <w:spacing w:after="0"/>
        <w:ind w:left="0"/>
        <w:jc w:val="both"/>
      </w:pPr>
      <w:r>
        <w:rPr>
          <w:rFonts w:ascii="Times New Roman"/>
          <w:b w:val="false"/>
          <w:i w:val="false"/>
          <w:color w:val="000000"/>
          <w:sz w:val="28"/>
        </w:rPr>
        <w:t>
      The Secretary-General of the United Nations shall notify all Members of the United Nations and the non-member States contemplated in paragraph I of article IV of this Convention of the following:</w:t>
      </w:r>
      <w:r>
        <w:br/>
      </w:r>
      <w:r>
        <w:rPr>
          <w:rFonts w:ascii="Times New Roman"/>
          <w:b w:val="false"/>
          <w:i w:val="false"/>
          <w:color w:val="000000"/>
          <w:sz w:val="28"/>
        </w:rPr>
        <w:t>
</w:t>
      </w:r>
      <w:r>
        <w:rPr>
          <w:rFonts w:ascii="Times New Roman"/>
          <w:b w:val="false"/>
          <w:i w:val="false"/>
          <w:color w:val="000000"/>
          <w:sz w:val="28"/>
        </w:rPr>
        <w:t>
      (a) Signatures and instruments of ratification received in accordance with article IV;</w:t>
      </w:r>
      <w:r>
        <w:br/>
      </w:r>
      <w:r>
        <w:rPr>
          <w:rFonts w:ascii="Times New Roman"/>
          <w:b w:val="false"/>
          <w:i w:val="false"/>
          <w:color w:val="000000"/>
          <w:sz w:val="28"/>
        </w:rPr>
        <w:t>
</w:t>
      </w:r>
      <w:r>
        <w:rPr>
          <w:rFonts w:ascii="Times New Roman"/>
          <w:b w:val="false"/>
          <w:i w:val="false"/>
          <w:color w:val="000000"/>
          <w:sz w:val="28"/>
        </w:rPr>
        <w:t>
      (b) Instruments of accession received in accordance with article V;</w:t>
      </w:r>
      <w:r>
        <w:br/>
      </w:r>
      <w:r>
        <w:rPr>
          <w:rFonts w:ascii="Times New Roman"/>
          <w:b w:val="false"/>
          <w:i w:val="false"/>
          <w:color w:val="000000"/>
          <w:sz w:val="28"/>
        </w:rPr>
        <w:t>
</w:t>
      </w:r>
      <w:r>
        <w:rPr>
          <w:rFonts w:ascii="Times New Roman"/>
          <w:b w:val="false"/>
          <w:i w:val="false"/>
          <w:color w:val="000000"/>
          <w:sz w:val="28"/>
        </w:rPr>
        <w:t>
      (c) The date upon which this Convention enters into force in accordance with article VI;</w:t>
      </w:r>
      <w:r>
        <w:br/>
      </w:r>
      <w:r>
        <w:rPr>
          <w:rFonts w:ascii="Times New Roman"/>
          <w:b w:val="false"/>
          <w:i w:val="false"/>
          <w:color w:val="000000"/>
          <w:sz w:val="28"/>
        </w:rPr>
        <w:t>
</w:t>
      </w:r>
      <w:r>
        <w:rPr>
          <w:rFonts w:ascii="Times New Roman"/>
          <w:b w:val="false"/>
          <w:i w:val="false"/>
          <w:color w:val="000000"/>
          <w:sz w:val="28"/>
        </w:rPr>
        <w:t>
      (d) Communications and notifications received in accordance with article VII;</w:t>
      </w:r>
      <w:r>
        <w:br/>
      </w:r>
      <w:r>
        <w:rPr>
          <w:rFonts w:ascii="Times New Roman"/>
          <w:b w:val="false"/>
          <w:i w:val="false"/>
          <w:color w:val="000000"/>
          <w:sz w:val="28"/>
        </w:rPr>
        <w:t>
</w:t>
      </w:r>
      <w:r>
        <w:rPr>
          <w:rFonts w:ascii="Times New Roman"/>
          <w:b w:val="false"/>
          <w:i w:val="false"/>
          <w:color w:val="000000"/>
          <w:sz w:val="28"/>
        </w:rPr>
        <w:t>
      (e) Notifications of denunciation received in accordance with paragraph I of article VIII;</w:t>
      </w:r>
      <w:r>
        <w:br/>
      </w:r>
      <w:r>
        <w:rPr>
          <w:rFonts w:ascii="Times New Roman"/>
          <w:b w:val="false"/>
          <w:i w:val="false"/>
          <w:color w:val="000000"/>
          <w:sz w:val="28"/>
        </w:rPr>
        <w:t>
</w:t>
      </w:r>
      <w:r>
        <w:rPr>
          <w:rFonts w:ascii="Times New Roman"/>
          <w:b w:val="false"/>
          <w:i w:val="false"/>
          <w:color w:val="000000"/>
          <w:sz w:val="28"/>
        </w:rPr>
        <w:t>
      (f) Abrogation in accordance with paragraph 2 of article VIII.</w:t>
      </w:r>
    </w:p>
    <w:bookmarkEnd w:id="23"/>
    <w:bookmarkStart w:name="z38" w:id="24"/>
    <w:p>
      <w:pPr>
        <w:spacing w:after="0"/>
        <w:ind w:left="0"/>
        <w:jc w:val="left"/>
      </w:pPr>
      <w:r>
        <w:rPr>
          <w:rFonts w:ascii="Times New Roman"/>
          <w:b/>
          <w:i w:val="false"/>
          <w:color w:val="000000"/>
        </w:rPr>
        <w:t xml:space="preserve"> 
Article 11</w:t>
      </w:r>
    </w:p>
    <w:bookmarkEnd w:id="24"/>
    <w:bookmarkStart w:name="z39" w:id="25"/>
    <w:p>
      <w:pPr>
        <w:spacing w:after="0"/>
        <w:ind w:left="0"/>
        <w:jc w:val="both"/>
      </w:pPr>
      <w:r>
        <w:rPr>
          <w:rFonts w:ascii="Times New Roman"/>
          <w:b w:val="false"/>
          <w:i w:val="false"/>
          <w:color w:val="000000"/>
          <w:sz w:val="28"/>
        </w:rPr>
        <w:t>
      1. This Convention, of which the Chinese, English, French, Russian and Spanish texts shall be equally authentic, shall be deposited in the archives of the United Nations.</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a certified copy to all Members of the United Nations and to the non-member States contemplated in paragraph I of article IV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