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3d60" w14:textId="6d13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of the International Labour Organisation concerning Discrimination in Respect of Employment and Occupation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20 July 1999</w:t>
      </w:r>
    </w:p>
    <w:p>
      <w:pPr>
        <w:spacing w:after="0"/>
        <w:ind w:left="0"/>
        <w:jc w:val="both"/>
      </w:pPr>
      <w:bookmarkStart w:name="z1" w:id="0"/>
      <w:r>
        <w:rPr>
          <w:rFonts w:ascii="Times New Roman"/>
          <w:b w:val="false"/>
          <w:i w:val="false"/>
          <w:color w:val="000000"/>
          <w:sz w:val="28"/>
        </w:rPr>
        <w:t xml:space="preserve">
      To ratify the Convention of the International Labour Organisation concerning Discrimination in Respect of Employment and Occupation (Convention № 111), adopted in Geneva, 25 June 1958.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№111 of the International Labour Organisation concerning Discrimination in Respect of Employment and Occupation </w:t>
      </w:r>
    </w:p>
    <w:bookmarkEnd w:id="1"/>
    <w:bookmarkStart w:name="z3" w:id="2"/>
    <w:p>
      <w:pPr>
        <w:spacing w:after="0"/>
        <w:ind w:left="0"/>
        <w:jc w:val="left"/>
      </w:pPr>
      <w:r>
        <w:rPr>
          <w:rFonts w:ascii="Times New Roman"/>
          <w:b/>
          <w:i w:val="false"/>
          <w:color w:val="000000"/>
        </w:rPr>
        <w:t xml:space="preserve"> 
(Geneva, 25 June 1958)</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Forty-second Session on 4 June 1958,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discrimination in the field of employment and occupation, which is the fourth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 and</w:t>
      </w:r>
      <w:r>
        <w:br/>
      </w:r>
      <w:r>
        <w:rPr>
          <w:rFonts w:ascii="Times New Roman"/>
          <w:b w:val="false"/>
          <w:i w:val="false"/>
          <w:color w:val="000000"/>
          <w:sz w:val="28"/>
        </w:rPr>
        <w:t>
</w:t>
      </w:r>
      <w:r>
        <w:rPr>
          <w:rFonts w:ascii="Times New Roman"/>
          <w:b w:val="false"/>
          <w:i w:val="false"/>
          <w:color w:val="000000"/>
          <w:sz w:val="28"/>
        </w:rPr>
        <w:t>
      Considering that the Declaration of Philadelphia affirms that all human beings, irrespective of race, creed or sex, have the right to pursue both their material well-being and their spiritual development in conditions of freedom and dignity, of economic security and equal opportunity, and</w:t>
      </w:r>
      <w:r>
        <w:br/>
      </w:r>
      <w:r>
        <w:rPr>
          <w:rFonts w:ascii="Times New Roman"/>
          <w:b w:val="false"/>
          <w:i w:val="false"/>
          <w:color w:val="000000"/>
          <w:sz w:val="28"/>
        </w:rPr>
        <w:t>
</w:t>
      </w:r>
      <w:r>
        <w:rPr>
          <w:rFonts w:ascii="Times New Roman"/>
          <w:b w:val="false"/>
          <w:i w:val="false"/>
          <w:color w:val="000000"/>
          <w:sz w:val="28"/>
        </w:rPr>
        <w:t>
      Considering further that discrimination constitutes a violation of rights enunciated by the Universal Declaration of Human Rights,</w:t>
      </w:r>
      <w:r>
        <w:br/>
      </w:r>
      <w:r>
        <w:rPr>
          <w:rFonts w:ascii="Times New Roman"/>
          <w:b w:val="false"/>
          <w:i w:val="false"/>
          <w:color w:val="000000"/>
          <w:sz w:val="28"/>
        </w:rPr>
        <w:t>
</w:t>
      </w:r>
      <w:r>
        <w:rPr>
          <w:rFonts w:ascii="Times New Roman"/>
          <w:b w:val="false"/>
          <w:i w:val="false"/>
          <w:color w:val="000000"/>
          <w:sz w:val="28"/>
        </w:rPr>
        <w:t>
      adopts this twenty-fifth day of June of the year one thousand nine hundred and fifty-eight the following Convention, which may be cited as the Discrimination (Employment and Occupation) Convention, 1958:</w:t>
      </w:r>
    </w:p>
    <w:bookmarkEnd w:id="4"/>
    <w:bookmarkStart w:name="z12" w:id="5"/>
    <w:p>
      <w:pPr>
        <w:spacing w:after="0"/>
        <w:ind w:left="0"/>
        <w:jc w:val="left"/>
      </w:pPr>
      <w:r>
        <w:rPr>
          <w:rFonts w:ascii="Times New Roman"/>
          <w:b/>
          <w:i w:val="false"/>
          <w:color w:val="000000"/>
        </w:rPr>
        <w:t xml:space="preserve"> 
Article 1</w:t>
      </w:r>
    </w:p>
    <w:bookmarkEnd w:id="5"/>
    <w:bookmarkStart w:name="z14" w:id="6"/>
    <w:p>
      <w:pPr>
        <w:spacing w:after="0"/>
        <w:ind w:left="0"/>
        <w:jc w:val="both"/>
      </w:pPr>
      <w:r>
        <w:rPr>
          <w:rFonts w:ascii="Times New Roman"/>
          <w:b w:val="false"/>
          <w:i w:val="false"/>
          <w:color w:val="000000"/>
          <w:sz w:val="28"/>
        </w:rPr>
        <w:t xml:space="preserve">
      1. For the purpose of this Convention the term discrimination includes-- </w:t>
      </w:r>
      <w:r>
        <w:br/>
      </w:r>
      <w:r>
        <w:rPr>
          <w:rFonts w:ascii="Times New Roman"/>
          <w:b w:val="false"/>
          <w:i w:val="false"/>
          <w:color w:val="000000"/>
          <w:sz w:val="28"/>
        </w:rPr>
        <w:t>
</w:t>
      </w:r>
      <w:r>
        <w:rPr>
          <w:rFonts w:ascii="Times New Roman"/>
          <w:b w:val="false"/>
          <w:i w:val="false"/>
          <w:color w:val="000000"/>
          <w:sz w:val="28"/>
        </w:rPr>
        <w:t>
      (a) any distinction, exclusion or preference made on the basis of race, colour, sex, religion, political opinion, national extraction or social origin, which has the effect of nullifying or impairing equality of opportunity or treatment in employment or occupation;</w:t>
      </w:r>
      <w:r>
        <w:br/>
      </w:r>
      <w:r>
        <w:rPr>
          <w:rFonts w:ascii="Times New Roman"/>
          <w:b w:val="false"/>
          <w:i w:val="false"/>
          <w:color w:val="000000"/>
          <w:sz w:val="28"/>
        </w:rPr>
        <w:t>
</w:t>
      </w:r>
      <w:r>
        <w:rPr>
          <w:rFonts w:ascii="Times New Roman"/>
          <w:b w:val="false"/>
          <w:i w:val="false"/>
          <w:color w:val="000000"/>
          <w:sz w:val="28"/>
        </w:rPr>
        <w:t>
      (b) such other distinction, exclusion or preference which has the effect of nullifying or impairing equality of opportunity or treatment in employment or occupation as may be determined by the Member concerned after consultation with representative employers' and workers' organisations, where such exist, and with other appropriate bodies.</w:t>
      </w:r>
      <w:r>
        <w:br/>
      </w:r>
      <w:r>
        <w:rPr>
          <w:rFonts w:ascii="Times New Roman"/>
          <w:b w:val="false"/>
          <w:i w:val="false"/>
          <w:color w:val="000000"/>
          <w:sz w:val="28"/>
        </w:rPr>
        <w:t>
</w:t>
      </w:r>
      <w:r>
        <w:rPr>
          <w:rFonts w:ascii="Times New Roman"/>
          <w:b w:val="false"/>
          <w:i w:val="false"/>
          <w:color w:val="000000"/>
          <w:sz w:val="28"/>
        </w:rPr>
        <w:t>
      2. Any distinction, exclusion or preference in respect of a particular job based on the inherent requirements thereof shall not be deemed to be discrimination.</w:t>
      </w:r>
      <w:r>
        <w:br/>
      </w:r>
      <w:r>
        <w:rPr>
          <w:rFonts w:ascii="Times New Roman"/>
          <w:b w:val="false"/>
          <w:i w:val="false"/>
          <w:color w:val="000000"/>
          <w:sz w:val="28"/>
        </w:rPr>
        <w:t>
</w:t>
      </w:r>
      <w:r>
        <w:rPr>
          <w:rFonts w:ascii="Times New Roman"/>
          <w:b w:val="false"/>
          <w:i w:val="false"/>
          <w:color w:val="000000"/>
          <w:sz w:val="28"/>
        </w:rPr>
        <w:t>
      3. For the purpose of this Convention the terms employment and occupation include access to vocational training, access to employment and to particular occupations, and terms and conditions of employment.</w:t>
      </w:r>
    </w:p>
    <w:bookmarkEnd w:id="6"/>
    <w:bookmarkStart w:name="z18" w:id="7"/>
    <w:p>
      <w:pPr>
        <w:spacing w:after="0"/>
        <w:ind w:left="0"/>
        <w:jc w:val="left"/>
      </w:pPr>
      <w:r>
        <w:rPr>
          <w:rFonts w:ascii="Times New Roman"/>
          <w:b/>
          <w:i w:val="false"/>
          <w:color w:val="000000"/>
        </w:rPr>
        <w:t xml:space="preserve"> 
Article 2</w:t>
      </w:r>
    </w:p>
    <w:bookmarkEnd w:id="7"/>
    <w:bookmarkStart w:name="z19" w:id="8"/>
    <w:p>
      <w:pPr>
        <w:spacing w:after="0"/>
        <w:ind w:left="0"/>
        <w:jc w:val="both"/>
      </w:pPr>
      <w:r>
        <w:rPr>
          <w:rFonts w:ascii="Times New Roman"/>
          <w:b w:val="false"/>
          <w:i w:val="false"/>
          <w:color w:val="000000"/>
          <w:sz w:val="28"/>
        </w:rPr>
        <w:t>
      Each Member for which this Convention is in force undertakes to declare and pursue a national policy designed to promote, by methods appropriate to national conditions and practice, equality of opportunity and treatment in respect of employment and occupation, with a view to eliminating any discrimination in respect thereof.</w:t>
      </w:r>
    </w:p>
    <w:bookmarkEnd w:id="8"/>
    <w:bookmarkStart w:name="z20" w:id="9"/>
    <w:p>
      <w:pPr>
        <w:spacing w:after="0"/>
        <w:ind w:left="0"/>
        <w:jc w:val="left"/>
      </w:pPr>
      <w:r>
        <w:rPr>
          <w:rFonts w:ascii="Times New Roman"/>
          <w:b/>
          <w:i w:val="false"/>
          <w:color w:val="000000"/>
        </w:rPr>
        <w:t xml:space="preserve"> 
Article 3</w:t>
      </w:r>
    </w:p>
    <w:bookmarkEnd w:id="9"/>
    <w:bookmarkStart w:name="z21" w:id="10"/>
    <w:p>
      <w:pPr>
        <w:spacing w:after="0"/>
        <w:ind w:left="0"/>
        <w:jc w:val="both"/>
      </w:pPr>
      <w:r>
        <w:rPr>
          <w:rFonts w:ascii="Times New Roman"/>
          <w:b w:val="false"/>
          <w:i w:val="false"/>
          <w:color w:val="000000"/>
          <w:sz w:val="28"/>
        </w:rPr>
        <w:t>
      Each Member for which this Convention is in force undertakes, by methods appropriate to national conditions and practice--</w:t>
      </w:r>
      <w:r>
        <w:br/>
      </w:r>
      <w:r>
        <w:rPr>
          <w:rFonts w:ascii="Times New Roman"/>
          <w:b w:val="false"/>
          <w:i w:val="false"/>
          <w:color w:val="000000"/>
          <w:sz w:val="28"/>
        </w:rPr>
        <w:t>
</w:t>
      </w:r>
      <w:r>
        <w:rPr>
          <w:rFonts w:ascii="Times New Roman"/>
          <w:b w:val="false"/>
          <w:i w:val="false"/>
          <w:color w:val="000000"/>
          <w:sz w:val="28"/>
        </w:rPr>
        <w:t>
      (a) to seek the co-operation of employers' and workers' organisations and other appropriate bodies in promoting the acceptance and observance of this policy;</w:t>
      </w:r>
      <w:r>
        <w:br/>
      </w:r>
      <w:r>
        <w:rPr>
          <w:rFonts w:ascii="Times New Roman"/>
          <w:b w:val="false"/>
          <w:i w:val="false"/>
          <w:color w:val="000000"/>
          <w:sz w:val="28"/>
        </w:rPr>
        <w:t>
</w:t>
      </w:r>
      <w:r>
        <w:rPr>
          <w:rFonts w:ascii="Times New Roman"/>
          <w:b w:val="false"/>
          <w:i w:val="false"/>
          <w:color w:val="000000"/>
          <w:sz w:val="28"/>
        </w:rPr>
        <w:t>
      (b) to enact such legislation and to promote such educational programmes as may be calculated to secure the acceptance and observance of the policy;</w:t>
      </w:r>
      <w:r>
        <w:br/>
      </w:r>
      <w:r>
        <w:rPr>
          <w:rFonts w:ascii="Times New Roman"/>
          <w:b w:val="false"/>
          <w:i w:val="false"/>
          <w:color w:val="000000"/>
          <w:sz w:val="28"/>
        </w:rPr>
        <w:t>
</w:t>
      </w:r>
      <w:r>
        <w:rPr>
          <w:rFonts w:ascii="Times New Roman"/>
          <w:b w:val="false"/>
          <w:i w:val="false"/>
          <w:color w:val="000000"/>
          <w:sz w:val="28"/>
        </w:rPr>
        <w:t>
      (c) to repeal any statutory provisions and modify any administrative instructions or practices which are inconsistent with the policy;</w:t>
      </w:r>
      <w:r>
        <w:br/>
      </w:r>
      <w:r>
        <w:rPr>
          <w:rFonts w:ascii="Times New Roman"/>
          <w:b w:val="false"/>
          <w:i w:val="false"/>
          <w:color w:val="000000"/>
          <w:sz w:val="28"/>
        </w:rPr>
        <w:t>
</w:t>
      </w:r>
      <w:r>
        <w:rPr>
          <w:rFonts w:ascii="Times New Roman"/>
          <w:b w:val="false"/>
          <w:i w:val="false"/>
          <w:color w:val="000000"/>
          <w:sz w:val="28"/>
        </w:rPr>
        <w:t>
      (d) to pursue the policy in respect of employment under the direct control of a national authority;</w:t>
      </w:r>
      <w:r>
        <w:br/>
      </w:r>
      <w:r>
        <w:rPr>
          <w:rFonts w:ascii="Times New Roman"/>
          <w:b w:val="false"/>
          <w:i w:val="false"/>
          <w:color w:val="000000"/>
          <w:sz w:val="28"/>
        </w:rPr>
        <w:t>
</w:t>
      </w:r>
      <w:r>
        <w:rPr>
          <w:rFonts w:ascii="Times New Roman"/>
          <w:b w:val="false"/>
          <w:i w:val="false"/>
          <w:color w:val="000000"/>
          <w:sz w:val="28"/>
        </w:rPr>
        <w:t>
      (e) to ensure observance of the policy in the activities of vocational guidance, vocational training and placement services under the direction of a national authority;</w:t>
      </w:r>
      <w:r>
        <w:br/>
      </w:r>
      <w:r>
        <w:rPr>
          <w:rFonts w:ascii="Times New Roman"/>
          <w:b w:val="false"/>
          <w:i w:val="false"/>
          <w:color w:val="000000"/>
          <w:sz w:val="28"/>
        </w:rPr>
        <w:t>
</w:t>
      </w:r>
      <w:r>
        <w:rPr>
          <w:rFonts w:ascii="Times New Roman"/>
          <w:b w:val="false"/>
          <w:i w:val="false"/>
          <w:color w:val="000000"/>
          <w:sz w:val="28"/>
        </w:rPr>
        <w:t>
      (f) to indicate in its annual reports on the application of the Convention the action taken in pursuance of the policy and the results secured by such action.</w:t>
      </w:r>
    </w:p>
    <w:bookmarkEnd w:id="10"/>
    <w:bookmarkStart w:name="z28" w:id="11"/>
    <w:p>
      <w:pPr>
        <w:spacing w:after="0"/>
        <w:ind w:left="0"/>
        <w:jc w:val="left"/>
      </w:pPr>
      <w:r>
        <w:rPr>
          <w:rFonts w:ascii="Times New Roman"/>
          <w:b/>
          <w:i w:val="false"/>
          <w:color w:val="000000"/>
        </w:rPr>
        <w:t xml:space="preserve"> 
Article 4</w:t>
      </w:r>
    </w:p>
    <w:bookmarkEnd w:id="11"/>
    <w:bookmarkStart w:name="z29" w:id="12"/>
    <w:p>
      <w:pPr>
        <w:spacing w:after="0"/>
        <w:ind w:left="0"/>
        <w:jc w:val="both"/>
      </w:pPr>
      <w:r>
        <w:rPr>
          <w:rFonts w:ascii="Times New Roman"/>
          <w:b w:val="false"/>
          <w:i w:val="false"/>
          <w:color w:val="000000"/>
          <w:sz w:val="28"/>
        </w:rPr>
        <w:t>
      Any measures affecting an individual who is justifiably suspected of, or engaged in, activities prejudicial to the security of the State shall not be deemed to be discrimination, provided that the individual concerned shall have the right to appeal to a competent body established in accordance with national practice.</w:t>
      </w:r>
    </w:p>
    <w:bookmarkEnd w:id="12"/>
    <w:bookmarkStart w:name="z30" w:id="13"/>
    <w:p>
      <w:pPr>
        <w:spacing w:after="0"/>
        <w:ind w:left="0"/>
        <w:jc w:val="left"/>
      </w:pPr>
      <w:r>
        <w:rPr>
          <w:rFonts w:ascii="Times New Roman"/>
          <w:b/>
          <w:i w:val="false"/>
          <w:color w:val="000000"/>
        </w:rPr>
        <w:t xml:space="preserve"> 
Article 5</w:t>
      </w:r>
    </w:p>
    <w:bookmarkEnd w:id="13"/>
    <w:bookmarkStart w:name="z31" w:id="14"/>
    <w:p>
      <w:pPr>
        <w:spacing w:after="0"/>
        <w:ind w:left="0"/>
        <w:jc w:val="both"/>
      </w:pPr>
      <w:r>
        <w:rPr>
          <w:rFonts w:ascii="Times New Roman"/>
          <w:b w:val="false"/>
          <w:i w:val="false"/>
          <w:color w:val="000000"/>
          <w:sz w:val="28"/>
        </w:rPr>
        <w:t>
      1. Special measures of protection or assistance provided for in other Conventions or Recommendations adopted by the International Labour Conference shall not be deemed to be discrimination.</w:t>
      </w:r>
      <w:r>
        <w:br/>
      </w:r>
      <w:r>
        <w:rPr>
          <w:rFonts w:ascii="Times New Roman"/>
          <w:b w:val="false"/>
          <w:i w:val="false"/>
          <w:color w:val="000000"/>
          <w:sz w:val="28"/>
        </w:rPr>
        <w:t>
</w:t>
      </w:r>
      <w:r>
        <w:rPr>
          <w:rFonts w:ascii="Times New Roman"/>
          <w:b w:val="false"/>
          <w:i w:val="false"/>
          <w:color w:val="000000"/>
          <w:sz w:val="28"/>
        </w:rPr>
        <w:t>
      2. Any Member may, after consultation with representative employers' and workers' organisations, where such exist, determine that other special measures designed to meet the particular requirements of persons who, for reasons such as sex, age, disablement, family responsibilities or social or cultural status, are generally recognised to require special protection or assistance, shall not be deemed to be discrimination.</w:t>
      </w:r>
    </w:p>
    <w:bookmarkEnd w:id="14"/>
    <w:bookmarkStart w:name="z33" w:id="15"/>
    <w:p>
      <w:pPr>
        <w:spacing w:after="0"/>
        <w:ind w:left="0"/>
        <w:jc w:val="left"/>
      </w:pPr>
      <w:r>
        <w:rPr>
          <w:rFonts w:ascii="Times New Roman"/>
          <w:b/>
          <w:i w:val="false"/>
          <w:color w:val="000000"/>
        </w:rPr>
        <w:t xml:space="preserve"> 
Article 6</w:t>
      </w:r>
    </w:p>
    <w:bookmarkEnd w:id="15"/>
    <w:bookmarkStart w:name="z34" w:id="16"/>
    <w:p>
      <w:pPr>
        <w:spacing w:after="0"/>
        <w:ind w:left="0"/>
        <w:jc w:val="both"/>
      </w:pPr>
      <w:r>
        <w:rPr>
          <w:rFonts w:ascii="Times New Roman"/>
          <w:b w:val="false"/>
          <w:i w:val="false"/>
          <w:color w:val="000000"/>
          <w:sz w:val="28"/>
        </w:rPr>
        <w:t>
      Each Member which ratifies this Convention undertakes to apply it to non-metropolitan territories in accordance with the provisions of the Constitution of the International Labour Organisation.</w:t>
      </w:r>
    </w:p>
    <w:bookmarkEnd w:id="16"/>
    <w:bookmarkStart w:name="z35" w:id="17"/>
    <w:p>
      <w:pPr>
        <w:spacing w:after="0"/>
        <w:ind w:left="0"/>
        <w:jc w:val="left"/>
      </w:pPr>
      <w:r>
        <w:rPr>
          <w:rFonts w:ascii="Times New Roman"/>
          <w:b/>
          <w:i w:val="false"/>
          <w:color w:val="000000"/>
        </w:rPr>
        <w:t xml:space="preserve"> 
Article 7</w:t>
      </w:r>
    </w:p>
    <w:bookmarkEnd w:id="17"/>
    <w:bookmarkStart w:name="z36" w:id="18"/>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18"/>
    <w:bookmarkStart w:name="z37" w:id="19"/>
    <w:p>
      <w:pPr>
        <w:spacing w:after="0"/>
        <w:ind w:left="0"/>
        <w:jc w:val="left"/>
      </w:pPr>
      <w:r>
        <w:rPr>
          <w:rFonts w:ascii="Times New Roman"/>
          <w:b/>
          <w:i w:val="false"/>
          <w:color w:val="000000"/>
        </w:rPr>
        <w:t xml:space="preserve"> 
Article 8</w:t>
      </w:r>
    </w:p>
    <w:bookmarkEnd w:id="19"/>
    <w:bookmarkStart w:name="z38" w:id="20"/>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 has been registered.</w:t>
      </w:r>
    </w:p>
    <w:bookmarkEnd w:id="20"/>
    <w:bookmarkStart w:name="z41" w:id="21"/>
    <w:p>
      <w:pPr>
        <w:spacing w:after="0"/>
        <w:ind w:left="0"/>
        <w:jc w:val="left"/>
      </w:pPr>
      <w:r>
        <w:rPr>
          <w:rFonts w:ascii="Times New Roman"/>
          <w:b/>
          <w:i w:val="false"/>
          <w:color w:val="000000"/>
        </w:rPr>
        <w:t xml:space="preserve"> 
Article 9</w:t>
      </w:r>
    </w:p>
    <w:bookmarkEnd w:id="21"/>
    <w:bookmarkStart w:name="z42" w:id="22"/>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22"/>
    <w:bookmarkStart w:name="z44" w:id="23"/>
    <w:p>
      <w:pPr>
        <w:spacing w:after="0"/>
        <w:ind w:left="0"/>
        <w:jc w:val="left"/>
      </w:pPr>
      <w:r>
        <w:rPr>
          <w:rFonts w:ascii="Times New Roman"/>
          <w:b/>
          <w:i w:val="false"/>
          <w:color w:val="000000"/>
        </w:rPr>
        <w:t xml:space="preserve"> 
Article 10</w:t>
      </w:r>
    </w:p>
    <w:bookmarkEnd w:id="23"/>
    <w:bookmarkStart w:name="z45" w:id="24"/>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24"/>
    <w:bookmarkStart w:name="z47" w:id="25"/>
    <w:p>
      <w:pPr>
        <w:spacing w:after="0"/>
        <w:ind w:left="0"/>
        <w:jc w:val="left"/>
      </w:pPr>
      <w:r>
        <w:rPr>
          <w:rFonts w:ascii="Times New Roman"/>
          <w:b/>
          <w:i w:val="false"/>
          <w:color w:val="000000"/>
        </w:rPr>
        <w:t xml:space="preserve"> 
Article 11</w:t>
      </w:r>
    </w:p>
    <w:bookmarkEnd w:id="25"/>
    <w:bookmarkStart w:name="z48" w:id="26"/>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bookmarkEnd w:id="26"/>
    <w:bookmarkStart w:name="z49" w:id="27"/>
    <w:p>
      <w:pPr>
        <w:spacing w:after="0"/>
        <w:ind w:left="0"/>
        <w:jc w:val="left"/>
      </w:pPr>
      <w:r>
        <w:rPr>
          <w:rFonts w:ascii="Times New Roman"/>
          <w:b/>
          <w:i w:val="false"/>
          <w:color w:val="000000"/>
        </w:rPr>
        <w:t xml:space="preserve"> 
Article 12</w:t>
      </w:r>
    </w:p>
    <w:bookmarkEnd w:id="27"/>
    <w:bookmarkStart w:name="z50" w:id="28"/>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28"/>
    <w:bookmarkStart w:name="z51" w:id="29"/>
    <w:p>
      <w:pPr>
        <w:spacing w:after="0"/>
        <w:ind w:left="0"/>
        <w:jc w:val="left"/>
      </w:pPr>
      <w:r>
        <w:rPr>
          <w:rFonts w:ascii="Times New Roman"/>
          <w:b/>
          <w:i w:val="false"/>
          <w:color w:val="000000"/>
        </w:rPr>
        <w:t xml:space="preserve"> 
Article 13</w:t>
      </w:r>
    </w:p>
    <w:bookmarkEnd w:id="29"/>
    <w:bookmarkStart w:name="z52" w:id="30"/>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9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30"/>
    <w:bookmarkStart w:name="z56" w:id="31"/>
    <w:p>
      <w:pPr>
        <w:spacing w:after="0"/>
        <w:ind w:left="0"/>
        <w:jc w:val="left"/>
      </w:pPr>
      <w:r>
        <w:rPr>
          <w:rFonts w:ascii="Times New Roman"/>
          <w:b/>
          <w:i w:val="false"/>
          <w:color w:val="000000"/>
        </w:rPr>
        <w:t xml:space="preserve"> 
Article 14</w:t>
      </w:r>
    </w:p>
    <w:bookmarkEnd w:id="31"/>
    <w:bookmarkStart w:name="z57" w:id="32"/>
    <w:p>
      <w:pPr>
        <w:spacing w:after="0"/>
        <w:ind w:left="0"/>
        <w:jc w:val="both"/>
      </w:pPr>
      <w:r>
        <w:rPr>
          <w:rFonts w:ascii="Times New Roman"/>
          <w:b w:val="false"/>
          <w:i w:val="false"/>
          <w:color w:val="000000"/>
          <w:sz w:val="28"/>
        </w:rPr>
        <w:t xml:space="preserve">
      The English and French versions of the text of this Convention are equally authoritative.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