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efb1" w14:textId="bb6e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to the Decree of the President of the Republic of Kazakhstan Having the Force of Constitutional Law “On Courts and the Status of Judges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November 16, 1999 N 478-I.</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The Decree of the President of the Republic of Kazakhstan Having the Force of Constitutional Law dated December 20, 1995 N 2694 "On Courts and the Status of Judges in the Republic of Kazakhstan" (Bulletin of the Supreme Council of the Republic of Kazakhstan, 1995, N 23, Article 147; Bulletin of the Parliament of the Republic of Kazakhstan, 1997, N 7, Article 78; N 11, Article 156; N 13-14, Article 194; 1999, N 4, Article 100) should be introduced with the following amendment:</w:t>
      </w:r>
    </w:p>
    <w:bookmarkEnd w:id="0"/>
    <w:p>
      <w:pPr>
        <w:spacing w:after="0"/>
        <w:ind w:left="0"/>
        <w:jc w:val="both"/>
      </w:pPr>
      <w:r>
        <w:rPr>
          <w:rFonts w:ascii="Times New Roman"/>
          <w:b w:val="false"/>
          <w:i w:val="false"/>
          <w:color w:val="000000"/>
          <w:sz w:val="28"/>
        </w:rPr>
        <w:t>
      in part three of item 2 of Article 77 the words "they shall be granted free travel for all public transport - urban, suburban and local traffic except for taxis" should be deleted.</w:t>
      </w:r>
    </w:p>
    <w:bookmarkStart w:name="z2"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President of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