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b303" w14:textId="1f0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хайуанаттар бақтарының жануарлармен импорттық және экспорттық операциялар жасауды және оларды басқа да зоологиялық салалы мекемелермен ауыстыруды іске асырудың тәртібін бекітемін" Қазақстан Республикасы Білім, мәдениет және денсаулық сақтау министрінің 1998 жылғы 10 наурыздағы бұйрығының күшін жою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2012 жылғы 8 қазандағы № 17-03/505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хайуанаттар бақтарының жануарлармен импорттық және экспорттық операциялар жасауды және оларды басқа да зоологиялық салалы мекемелермен ауыстыруды іске асырудың тәртібін бекітемін Қазақстан Республикасы Білім, мәдениет және денсаулық сақтау министрінің 1998 жылғы 10 наурыздағы (Нормативтік құқықтық актілерін мемлекеттік тіркеу тізілімінде № 511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министрлігінің Орман және аңшылық шаруашылығы комитеті (Е.Н. Нысанбаев) осы бұйрықтың көшірмесін белгіленген тәртіппен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