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f824" w14:textId="e08f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өндірушілер өндіретін тауарлардың, жұмыстардың және қызметтердің тізілімін және осы тізілімге енгізу (қосу) үшін бағалау өлшемдерін қалыптастыру және жүргізу жөніндегі нұсқаулықты бекіту туралы» Қазақстан Республикасы Индустрия және жаңа технологиялар министрінің міндетін атқарушының 2011 жылғы 19 қыркүйектегі № 329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10 қазандағы № 377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43-1-бабына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«Қазақстандық өндірушілер өндіретін тауарлардың, жұмыстардың және қызметтердің тізілімін және осы тізілімге енгізу (қосу) үшін бағалау өлшемдерін қалыптастыру және жүргізу жөніндегі нұсқаулықты бекіту туралы» Қазақстан Республикасы Индустрия және жаңа технологиялар министрінің міндетін атқарушының 2011 жылғы 19 қыркүйектегі № 329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2011 жылғы 17 қазандағы № 7261 болып тіркелген, «Егемен Қазақстан» газетінде 2012 жылғы 24 сәуірдегі № 114-115 (26933-26934)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Тау-кен металлургиялық кешендегі жергілікті қамту департаменті (С. Кәмелі) осы бұйрық күшіне енген күннен бастап бір апта мерзімде бұйрықтың көшірмесін Қазақстан Республикасының Әділет министрлігіне жіберсін және кейіннен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Министрдің міндетін атқарушы                         A. Paу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