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3811" w14:textId="f423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 және сауда министрлігі Құрылыс істері жөніндегі комитетінің "Қазақстанның құрметті сәулетшісі" және "Қазақстанның құрметті құрылысшысы" омырауға тағатын құрмет белгілері түріндегі көтермелеу нысанын тағайындау туралы 2004 жылғы 1 наурыздағы № 81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2 ақпандағы № 36 бұйрығы</w:t>
      </w:r>
    </w:p>
    <w:p>
      <w:pPr>
        <w:spacing w:after="0"/>
        <w:ind w:left="0"/>
        <w:jc w:val="both"/>
      </w:pPr>
      <w:bookmarkStart w:name="z1" w:id="0"/>
      <w:r>
        <w:rPr>
          <w:rFonts w:ascii="Times New Roman"/>
          <w:b w:val="false"/>
          <w:i w:val="false"/>
          <w:color w:val="000000"/>
          <w:sz w:val="28"/>
        </w:rPr>
        <w:t>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қаулысының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Индустрия және сауда министрлігі Құрылыс істері жөніндегі комитетінің «Қазақстанның құрметті сәулетшісі» және «Қазақстанның құрметті құрылысшысы» омырауға тағатын құрмет белгілері түріндегі көтермелеу нысанын тағайындау туралы» Қазақстан Республикасы Индустрия және сауда министрлігінің Құрылыс істері жөніндегі комитеті Төрағасының 2004 жылғы 1 наурыздағы № 81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(нормативтік-құқықтық актілерді мемлекеттік тіркеу тізілімінде № 2759 болып тіркелген).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тіркеуден өткен күннен бастап күшіне енеді.</w:t>
      </w:r>
    </w:p>
    <w:bookmarkEnd w:id="0"/>
    <w:p>
      <w:pPr>
        <w:spacing w:after="0"/>
        <w:ind w:left="0"/>
        <w:jc w:val="both"/>
      </w:pPr>
      <w:r>
        <w:rPr>
          <w:rFonts w:ascii="Times New Roman"/>
          <w:b w:val="false"/>
          <w:i/>
          <w:color w:val="000000"/>
          <w:sz w:val="28"/>
        </w:rPr>
        <w:t>      Төраға                                                  С.Нокин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