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416b" w14:textId="9144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 Қазақстан Республикасы Құрылыс және тұрғын үй-коммуналдық шаруашылық істері агенттігі төрағасының 2010 жылғы 4 қарашадағы № 484 бұйрығының күшін жою туралы</w:t>
      </w:r>
    </w:p>
    <w:p>
      <w:pPr>
        <w:spacing w:after="0"/>
        <w:ind w:left="0"/>
        <w:jc w:val="both"/>
      </w:pPr>
      <w:r>
        <w:rPr>
          <w:rFonts w:ascii="Times New Roman"/>
          <w:b w:val="false"/>
          <w:i w:val="false"/>
          <w:color w:val="000000"/>
          <w:sz w:val="28"/>
        </w:rPr>
        <w:t>Қазақстан Республикасы Өңірлік даму министрлігі құрылыс және тұрғын үй-коммуналдық шаруашылық істері комитеті төрағасының 2013 жылғы 24 сәуірдегі № 48-нқ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регламенттерін бекіту туралы" Қазақстан Республикасы Құрылыс және тұрғын үй-коммуналдық шаруашылық істері агенттігі төрағасының 2010 жылғы 4 қарашадағы № 484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актілердің мемлекеттік тізілімінде № 6676 болып тіркелген, "Казахстанская правда" газетінде 2011 жылғы 2 ақпанда № 37 (26458), "Егемен Қазақстан" 2011 жылғы 3 ақпандағы № 35 (26437)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Мемлекеттік сәулет-құрылыс бақылау басқармасы (Ә.Д. Дүйсенбек) осы бұйрық күшіне енген күннен бастап бір апта мерзім ішінде бұйрықтың көшірмесін Қазақстан Республикасы Әділет министрлігіне жіберсін және бұйрықты мерзімдік баспа басылымдарында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Мемлекеттік сәулет-құрылыс бақылау басқармасына (Ә.Д. Дүйсенбек)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                                                 В.Галиев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