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da029" w14:textId="bbda0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білім беру ұйымына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мәслихатының 2016 жылғы 15 қарашадағы № 52 және Алматы қаласы әкімдігінің 2016 жылғы 16 қарашадағы № 4/544 бірлескен шешімі мен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4-2) тармақшасына, Қазақстан Республикасы Үкіметінің 1996 жылғы 5 наурыздағы № 281 "Қазақстан Республикасының аумағындағы әуежайларға порттарға, теміржол вокзалдарына, теміржол стансаларына, метрополитен стансаларына, автовокзалдарға. автостансаларға, фнзикалық-географиялық және мемлекет меншігіндегі басқа да объектілерге атау беру, сондай-ақ оларды кайта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Алматы қаласының ономастика комиссиясының 2016 жылғы 20 қазандағы қорытындысының негізінде, Алматы қаласынын әкімдігі ҚАУЛЫ ЕТЕДІ және VI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 w:val="false"/>
          <w:i w:val="false"/>
          <w:color w:val="000000"/>
          <w:sz w:val="28"/>
        </w:rPr>
        <w:t>ETTІ: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Алматы қаласы Білім басқармасының "№ 168 жалпы білім беретін мектеп" коммуналдық мемлекеттік мекемесіне Қасыл Қатықбаеваның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Республикалық ономастика комиссиясының қарауына Алматы қаласы Білім басқармасының "№ 168 жалпы білім беретін мектеп" коммуналдық мемлекеттік мекемесіне Қасыл Қатықбаеваның есімін беру жөнінде ұсыныс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әкімдік қаулысы мен маслихат шешімнің орындалуын бақылау Алматы қаласы мәслихатының әлеуметтік-мәдени даму жөніндегі тұрақты комиссиясының төрайымы X. Есеноваға және Алматы қаласы әкімінің орынбасары А. Қырықбаевка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қаласының әкімі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 сайланған Алматы қаласымәслихаты Х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Бадаева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