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1f14" w14:textId="0b61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2016 жылғы 15 қаңтардағы № 009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Байғанин аудандық әкiмдiгiнiң 2015 жылғы 03 маусымдағы № 125 "Азаматтық қызметшi болып табылатын және ауылдық жерде жұмыс iстейтiн денсаулық сақтау, әлеуметтiк қамсыздандыру, бiлiм беру, мәдениет, спорт және ветеринария саласындағы мамандар лауазымдарының тiзбесiн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4399 болып тiркелген, 2015 жылдың 15 шілдеде аудандық "Жем Сағыз " газетiнде және 2015 жылдың 14 шілдесінде "Әдiлет" АҚЖ-де жарияланған)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 аппаратының басшысы Ж. Абитовке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кезiнен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