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bf4d" w14:textId="b84b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2016 жылғы 25 сәуірдегі № 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№ 480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күнiнен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79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жойылды деп танылған кейбір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2012 жылғы 17 қазандағы № 211 "Қылмыстық-атқару инспекциясы пробация қызметінің есебінде тұрған адамдар,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2012 жылы 08 қарашада № 3428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әкімдігінің 2015 жылғы 5 маусымдағы № 81 "Ырғыз ауданы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10 шілдеде № 4430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әкімдігінің 2016 жылғы 8 ақпандағы № 27 "2016 жылға Ырғыз ауданы бойынша ұйымдардың тізбесін, қоғамдық жұмыстардың түрлерін, көлемін және нақты жағдайларын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4 наурызда № 4763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