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8ffb" w14:textId="b4c8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2015 жылғы 09 желтоқсандағы № 1757 "2016 жылға Ақтау қаласында қоғамдық жұмыстарды ұйымдастыру және қаржыландыру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04 тамыздағы № 1452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06 сәуірдегі Заңдарына, Қазақстан Республикасының Денсаулық сақтау және әлеуметтік даму Министрлігінің 2016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13938 болып тіркелген) бекітілген Қоғамдық жұмыстарды ұйымдастыру және қаржыландыру қағидаларына сәйкес, Ақтау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әкімдігінің "2015 жылғы 09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Ақтау қаласында қоғамдық жұмыстарды ұйымдастыру және қаржыландыру туралы" қаулысына (нормативтік құқықтық актілерді мемлекеттік тіркеу тізілімінде № 2933 болып тіркелген, 2016 жылғы 11 қаңтардағы "Әділет" ақпараттық-құқықтық жүйесінде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Н. Қ. Аққұловқа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қойған күннен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бөлімі"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тмаыз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