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602" w14:textId="562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2016 жылғы 18 мамырдағы № 82 "2016 жылға қоғамдық жұмыстарды ұйымдастыру және қаржыландыру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29 тамыздағы № 167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06 сәуірдегі Заңдарына, Қазақстан Республикасының Денсаулық сақтау және әлеуметтік даму Министрлігінің 2016 жылғы 14 маусымдағы бұйрығымен (нормативтік құқықтық актілерді мемлекеттік тіркеу тізілімінде № 13938 болып тіркелген)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Түпқараған ауданы әкімдігінің 2016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қоғамдық жұмыстарды ұйымдастыру және қаржыландыру туралы" қаулысына (нормативтік құқықтық актілерді мемлекеттік тіркеу тізілімінде № 3054 болып тіркелген, "Әділет" ақпараттық-құқықтық жүйесінде 2016 жылғы 7 маусымда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аудан әкімінің орынбасары Т. Алтынғалиевке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 қол қойылған күнінен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