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d18e" w14:textId="6d6d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 453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11 қыркүйектегі № 396 бұйрығы. Күші жойылды - Қазақстан Республикасы Ақпарат және коммуникациялар министрінің 2018 жылғы 15 қазандағы № 440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15.10.2018 </w:t>
      </w:r>
      <w:r>
        <w:rPr>
          <w:rFonts w:ascii="Times New Roman"/>
          <w:b w:val="false"/>
          <w:i w:val="false"/>
          <w:color w:val="ff0000"/>
          <w:sz w:val="28"/>
        </w:rPr>
        <w:t>№ 440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кейбір мәселелері туралы" Қазақстан Республикасы Үкіметінің 2018 жылғы 3 қыркүйектегі № 549 қаулысының 2-тармағын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w:t>
      </w:r>
      <w:r>
        <w:rPr>
          <w:rFonts w:ascii="Times New Roman"/>
          <w:b w:val="false"/>
          <w:i w:val="false"/>
          <w:color w:val="000000"/>
          <w:sz w:val="28"/>
        </w:rPr>
        <w:t>№ 453</w:t>
      </w:r>
      <w:r>
        <w:rPr>
          <w:rFonts w:ascii="Times New Roman"/>
          <w:b w:val="false"/>
          <w:i w:val="false"/>
          <w:color w:val="000000"/>
          <w:sz w:val="28"/>
        </w:rPr>
        <w:t xml:space="preserve"> бұйрығына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"2) осы бұйрыққа 2-қосымшаға сәйкес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 </w:t>
      </w:r>
    </w:p>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Start w:name="z8"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w:t>
      </w:r>
    </w:p>
    <w:bookmarkEnd w:id="4"/>
    <w:bookmarkStart w:name="z9" w:id="5"/>
    <w:p>
      <w:pPr>
        <w:spacing w:after="0"/>
        <w:ind w:left="0"/>
        <w:jc w:val="both"/>
      </w:pPr>
      <w:r>
        <w:rPr>
          <w:rFonts w:ascii="Times New Roman"/>
          <w:b w:val="false"/>
          <w:i w:val="false"/>
          <w:color w:val="000000"/>
          <w:sz w:val="28"/>
        </w:rPr>
        <w:t>
      1) осы бұйрық қабылданған күннен бастап күнтізбелік бес күн ішінде әділет органдарында қайта тіркеуді;</w:t>
      </w:r>
    </w:p>
    <w:bookmarkEnd w:id="5"/>
    <w:bookmarkStart w:name="z10" w:id="6"/>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6"/>
    <w:bookmarkStart w:name="z11"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Ақпарат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коммуникациялар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Мауберлинова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