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673e" w14:textId="4766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10 шілдедегі № 699 бұйрығы</w:t>
      </w:r>
    </w:p>
    <w:p>
      <w:pPr>
        <w:spacing w:after="0"/>
        <w:ind w:left="0"/>
        <w:jc w:val="both"/>
      </w:pPr>
      <w:bookmarkStart w:name="z1" w:id="0"/>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9877 болып тіркелген, "Әділет" ақпараттық-құқықтық жүйесінде 2014 жылғы 8 желтоқсанда жарияланған) мынадай өзгерістер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заңды мекенжайы: 010000, Нұр-Сұлтан қаласы, Жеңіс даңғылы,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59-1), 59-2), 59-3), 59-4) және 59-5) тармақшалармен толықтырылсын:</w:t>
      </w:r>
    </w:p>
    <w:p>
      <w:pPr>
        <w:spacing w:after="0"/>
        <w:ind w:left="0"/>
        <w:jc w:val="both"/>
      </w:pPr>
      <w:r>
        <w:rPr>
          <w:rFonts w:ascii="Times New Roman"/>
          <w:b w:val="false"/>
          <w:i w:val="false"/>
          <w:color w:val="000000"/>
          <w:sz w:val="28"/>
        </w:rPr>
        <w:t>
      "59-1)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қажетті мүлікпен қамтамасыз ету;</w:t>
      </w:r>
    </w:p>
    <w:p>
      <w:pPr>
        <w:spacing w:after="0"/>
        <w:ind w:left="0"/>
        <w:jc w:val="both"/>
      </w:pPr>
      <w:r>
        <w:rPr>
          <w:rFonts w:ascii="Times New Roman"/>
          <w:b w:val="false"/>
          <w:i w:val="false"/>
          <w:color w:val="000000"/>
          <w:sz w:val="28"/>
        </w:rPr>
        <w:t>
      59-2) мемлекеттік мүлік жөніндегі уәкілетті орган аумақтық бөлімшелерінің активтерін мемлекеттік мүлікті есепке алу саласындағы бірыңғай операторға сенімгерлік басқаруға беру бойынша шешім қабылдау;</w:t>
      </w:r>
    </w:p>
    <w:p>
      <w:pPr>
        <w:spacing w:after="0"/>
        <w:ind w:left="0"/>
        <w:jc w:val="both"/>
      </w:pPr>
      <w:r>
        <w:rPr>
          <w:rFonts w:ascii="Times New Roman"/>
          <w:b w:val="false"/>
          <w:i w:val="false"/>
          <w:color w:val="000000"/>
          <w:sz w:val="28"/>
        </w:rPr>
        <w:t>
      59-3) мемлекеттік мүлік жөніндегі уәкілетті орган аумақтық бөлімшелерінің мүлкін басқару және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59-4)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мемлекеттік мүлік жөніндегі уәкілетті орган қамтамасыз ететін қажетті мүліктің тізбесін әзірлеу;</w:t>
      </w:r>
    </w:p>
    <w:p>
      <w:pPr>
        <w:spacing w:after="0"/>
        <w:ind w:left="0"/>
        <w:jc w:val="both"/>
      </w:pPr>
      <w:r>
        <w:rPr>
          <w:rFonts w:ascii="Times New Roman"/>
          <w:b w:val="false"/>
          <w:i w:val="false"/>
          <w:color w:val="000000"/>
          <w:sz w:val="28"/>
        </w:rPr>
        <w:t>
      59-5) мемлекеттік мүлік жөніндегі уәкілетті орган аумақтық бөлімшелерінің мемлекеттік мүлікті есепке алу саласындағы бірыңғай операторға сенімгерлік басқаруға берілетін активтерінің тізбесін әзірлеу;";</w:t>
      </w:r>
    </w:p>
    <w:p>
      <w:pPr>
        <w:spacing w:after="0"/>
        <w:ind w:left="0"/>
        <w:jc w:val="both"/>
      </w:pPr>
      <w:r>
        <w:rPr>
          <w:rFonts w:ascii="Times New Roman"/>
          <w:b w:val="false"/>
          <w:i w:val="false"/>
          <w:color w:val="000000"/>
          <w:sz w:val="28"/>
        </w:rPr>
        <w:t>
      Қазақстан Республикасы Қаржы министрлiгi Мемлекеттік мүлік және жекешелендіру комитетінің аумақтық органдары – мемлекеттік мекемелерінің тізбесінде: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"16. Қазақстан Республикасы Қаржы министрлiгi Мемлекеттік мүлік және жекешелендіру комитетінің Нұр-Сұлтан қаласы мемлекеттік мүлік және жекешелендіру департаменті.".</w:t>
      </w:r>
    </w:p>
    <w:bookmarkStart w:name="z7" w:id="3"/>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(Б.К. Тәшенов) заңнамада белгіленген тәртіппен: </w:t>
      </w:r>
    </w:p>
    <w:bookmarkEnd w:id="3"/>
    <w:bookmarkStart w:name="z8" w:id="4"/>
    <w:p>
      <w:pPr>
        <w:spacing w:after="0"/>
        <w:ind w:left="0"/>
        <w:jc w:val="both"/>
      </w:pPr>
      <w:r>
        <w:rPr>
          <w:rFonts w:ascii="Times New Roman"/>
          <w:b w:val="false"/>
          <w:i w:val="false"/>
          <w:color w:val="000000"/>
          <w:sz w:val="28"/>
        </w:rPr>
        <w:t>
      1) осы бұйрық қабылданған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