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62a04" w14:textId="1162a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2019 жылғы 26 ақпандағы № 73 бұйрығы</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қызметке ақы төлеу комитетінің кейбір мәселелері туралы" Қазақстан Республикасы Денсаулық сақтау министрлігі жауапты хатшысының 2017 жылғы 28 ақпандағы № 44 бұйрығының және "Қазақстан Республикасы Денсаулық сақтау және әлеуметтік даму министрлігі Медициналық қызметке ақы төлеу комитетінің "Б" корпусы мемлекеттік әкімшілік лауазымдарына қойылатын біліктілік талаптарын бекіту туралы" Қазақстан Республикасы Денсаулық сақтау және әлеуметтік даму министрлігінің Медициналық қызметке ақы төлеу комитеті төрағасының міндетін атқарушының 2014 жылғы 6 қарашадағы № 7 бұйрығының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Заң қызметі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 қабылданған күннен кейін күнтізбелік он күннің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 қабылданған күннен кейін күнтізбелік он күннің ішінде осы бұйрықты Қазақстан Республикасы Денсаулық сақтау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Денсаулық сақтау министрлігінің жауапты хатшысы Б.Т. Төкежановқа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