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0d34" w14:textId="5310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ауданы әкімдігінің 2021 жылғы 13 қыркүйектегі № 210 қаулысы.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2021 жылғы 13 тамыздағы жер қойнауын пайдалану жөніндегі № 1403-ЕL санды пайдалы қатты қазбаларды барлауға арналған лицензиясына сәйкес, Байғанин аудандық әкімдігі ҚАУЛЫ ЕТЕДІ:</w:t>
      </w:r>
    </w:p>
    <w:bookmarkEnd w:id="0"/>
    <w:bookmarkStart w:name="z3" w:id="1"/>
    <w:p>
      <w:pPr>
        <w:spacing w:after="0"/>
        <w:ind w:left="0"/>
        <w:jc w:val="both"/>
      </w:pPr>
      <w:r>
        <w:rPr>
          <w:rFonts w:ascii="Times New Roman"/>
          <w:b w:val="false"/>
          <w:i w:val="false"/>
          <w:color w:val="000000"/>
          <w:sz w:val="28"/>
        </w:rPr>
        <w:t>
      1. "Қаржауов А.Ғ" жеке кәсіпкерге пайдалы қазбаларды барлау үшін, Байғанин ауданы Қызылбұлақ ауылдық округі аумағында орналасқан жалпы алаңы 0,002 га жер учаскесіне жер пайдаланушылардан алып қоймай, 2021 жылдың 30 қыркүйекке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"Байғанин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осы қаулыны оны ресми жариялағаннан кейін Байғанин аудандық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осы салаға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