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8de7" w14:textId="c798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Алматы облысы Көксу аудандық мәслихатының 2021 жылғы 297 қыркүйектегі № 13-2 шешімі</w:t>
      </w:r>
    </w:p>
    <w:p>
      <w:pPr>
        <w:spacing w:after="0"/>
        <w:ind w:left="0"/>
        <w:jc w:val="both"/>
      </w:pPr>
      <w:bookmarkStart w:name="z7"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Көксу ауданы мәслихаты ШЕШТІ:</w:t>
      </w:r>
    </w:p>
    <w:bookmarkEnd w:id="0"/>
    <w:bookmarkStart w:name="z8" w:id="1"/>
    <w:p>
      <w:pPr>
        <w:spacing w:after="0"/>
        <w:ind w:left="0"/>
        <w:jc w:val="both"/>
      </w:pPr>
      <w:r>
        <w:rPr>
          <w:rFonts w:ascii="Times New Roman"/>
          <w:b w:val="false"/>
          <w:i w:val="false"/>
          <w:color w:val="000000"/>
          <w:sz w:val="28"/>
        </w:rPr>
        <w:t>
      1. Көксу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алу немесе салу үшін әлеуметтік қолдау көрсетілсін.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Көксу ауданы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