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813d" w14:textId="8058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23 желтоқсандағы № 1334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бюджет түсiмдерiнiң сыныптамасында:</w:t>
      </w:r>
    </w:p>
    <w:bookmarkEnd w:id="2"/>
    <w:p>
      <w:pPr>
        <w:spacing w:after="0"/>
        <w:ind w:left="0"/>
        <w:jc w:val="both"/>
      </w:pPr>
      <w:r>
        <w:rPr>
          <w:rFonts w:ascii="Times New Roman"/>
          <w:b w:val="false"/>
          <w:i w:val="false"/>
          <w:color w:val="000000"/>
          <w:sz w:val="28"/>
        </w:rPr>
        <w:t>
      1 "Салықтық түсімдер" санатында:</w:t>
      </w:r>
    </w:p>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сыныбында:</w:t>
      </w:r>
    </w:p>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p>
      <w:pPr>
        <w:spacing w:after="0"/>
        <w:ind w:left="0"/>
        <w:jc w:val="both"/>
      </w:pPr>
      <w:r>
        <w:rPr>
          <w:rFonts w:ascii="Times New Roman"/>
          <w:b w:val="false"/>
          <w:i w:val="false"/>
          <w:color w:val="000000"/>
          <w:sz w:val="28"/>
        </w:rPr>
        <w:t>
      мынадай мазмұндағы 17 ерекшелікпен толықтырылсын:</w:t>
      </w:r>
    </w:p>
    <w:p>
      <w:pPr>
        <w:spacing w:after="0"/>
        <w:ind w:left="0"/>
        <w:jc w:val="both"/>
      </w:pPr>
      <w:r>
        <w:rPr>
          <w:rFonts w:ascii="Times New Roman"/>
          <w:b w:val="false"/>
          <w:i w:val="false"/>
          <w:color w:val="000000"/>
          <w:sz w:val="28"/>
        </w:rPr>
        <w:t xml:space="preserve">
      "17 Цифрлық майнинг үшін төлемақы"; </w:t>
      </w:r>
    </w:p>
    <w:p>
      <w:pPr>
        <w:spacing w:after="0"/>
        <w:ind w:left="0"/>
        <w:jc w:val="both"/>
      </w:pPr>
      <w:r>
        <w:rPr>
          <w:rFonts w:ascii="Times New Roman"/>
          <w:b w:val="false"/>
          <w:i w:val="false"/>
          <w:color w:val="000000"/>
          <w:sz w:val="28"/>
        </w:rPr>
        <w:t>
      бюджет шығыстарының функционалдық сыныптамасында:</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 әкімшісі бойынша:</w:t>
      </w:r>
    </w:p>
    <w:p>
      <w:pPr>
        <w:spacing w:after="0"/>
        <w:ind w:left="0"/>
        <w:jc w:val="both"/>
      </w:pPr>
      <w:r>
        <w:rPr>
          <w:rFonts w:ascii="Times New Roman"/>
          <w:b w:val="false"/>
          <w:i w:val="false"/>
          <w:color w:val="000000"/>
          <w:sz w:val="28"/>
        </w:rPr>
        <w:t>
      028 "Коммуналдық шаруашылығын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7" w:id="4"/>
    <w:p>
      <w:pPr>
        <w:spacing w:after="0"/>
        <w:ind w:left="0"/>
        <w:jc w:val="both"/>
      </w:pPr>
      <w:r>
        <w:rPr>
          <w:rFonts w:ascii="Times New Roman"/>
          <w:b w:val="false"/>
          <w:i w:val="false"/>
          <w:color w:val="000000"/>
          <w:sz w:val="28"/>
        </w:rPr>
        <w:t>
      4. Осы бұйрық 2022 жылғы 1 қаңтардан бастап қолданысқа енгізілетін осы бұйрықтың 1-тармақтың жетінші және сегізінші абзацтарын 2-тармағын қоспағанда,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