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2c6f" w14:textId="cda2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29 қыркүйектегі № 302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функцияларында: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"28) радиациялық қауіпсіздікті қамтамасыз ету саласында, оның ішінде радиоактивті қалдықтармен жұмыс істеуге байланысты қызметке мемлекеттік бақылауды және қадағалауды жүзеге асырады;".</w:t>
      </w:r>
    </w:p>
    <w:bookmarkStart w:name="z5"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департаментіне хабарлауды;</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 қамтамасыз етсін.</w:t>
      </w:r>
    </w:p>
    <w:bookmarkStart w:name="z6" w:id="1"/>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