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dee6" w14:textId="618d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Шахтинск аймағындағы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24 желтоқсандағы № 105/11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428 706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42 133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- 386 486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438 548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-9 842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9 842 мың теңге: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Шахтинск аймағының кенттері бюджеті құрамында Шахан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 бюджеттік бағдарламалары бойынша шығындар және кірістер қарастырылғаны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Шахан кенті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Долинка кенті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Новодолинский кенті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