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0592" w14:textId="4dd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2021 жылғы 27 қаңтардағы II сессиясының "2021-2023 жылдарға арналған кенттер, ауылдық округтер бюджеттері туралы" № 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2021 жылғы 4 қарашадағы № 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"2021-2023 жылдарға арналған кенттер, ауылдық округтер бюджеттері туралы" 2021 жылғы 27 қаңтардағы №16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176 209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173 462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176 210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199 052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195 337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199 265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213 321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49 469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46 160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59 329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-9 860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9 860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9 860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72 003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1 122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70 881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139 392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138 998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140 024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632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2021-2023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45 952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45 287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53 238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51 874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45 760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44 248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45 762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93 665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1 750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91 915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93 665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49 828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49 194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59 831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58 756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59 835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74 013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73 092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74 028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57 594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56 123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2021 жылға арналған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2021 жылға арналған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4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2021 жылға арналған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2021 жылға арналған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2021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2021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2021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2021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2021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2021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2021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2021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қаңтардағы №16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29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2021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2021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4 қарашадағы №79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 №16 шешіміне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кенттер, ауылдық округтер бюджеттерінің құрамындағы нысаналы трансферттер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тұрғын үйді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қызметшілерге факторлы-балдық шәкіл негізінде бонус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