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3ec1" w14:textId="d2e3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Қызылорда облысы Жаңақорған ауданы әкімдігінің 2021 жылғы 25 тамыздағы № 445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"Жаңақорған ауданының тұрғын үй-коммуналдық шаруашылығы, жолаушылар көлігі және автомобиль жолдары бөлімі" коммуналдық мемлекеттік мекемесінің 2021 жылдың 17 тамыздағы № 01-1/188-вн қатынас хаты негізінде Жаңақорған ауданының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жоғары қысымды газ құбырларының желілік бөлігін орналастыру және пайдалану мақсатында жер учаскелерін меншік иелері мен жер пайдаланушылардан алып қоймай, Жаңақорған ауданының аумағында орналасқан жалпы көлемі 60,1703 гектар жер учаскесіне 2026 жылдың 25 тамызына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"Жаңақорған ауданының тұрғын үй-коммуналдық шаруашылығы, жолаушылар көлігі және автомобиль жолдары бөлімі" коммуналдық мемлекеттік мекемесі, Жаңақорған ауданы, Кейден ауылдық округі, Жайылма ауылдық округі және Шалқия кенті аумағынан жоғары қысымды газ құбырларының желілік бөлігін орналастыру және пайдалану мақсатында жер учаскелерін пайдалану кезінде Қазақстан Республикасының заңнама талаптарын сақтасын және операция аяқталғаннан кейін бүлінген жерлерді қалпына келтіруді жүргізсін.</w:t>
      </w:r>
    </w:p>
    <w:bookmarkEnd w:id="2"/>
    <w:bookmarkStart w:name="z7" w:id="3"/>
    <w:p>
      <w:pPr>
        <w:spacing w:after="0"/>
        <w:ind w:left="0"/>
        <w:jc w:val="both"/>
      </w:pPr>
      <w:r>
        <w:rPr>
          <w:rFonts w:ascii="Times New Roman"/>
          <w:b w:val="false"/>
          <w:i w:val="false"/>
          <w:color w:val="000000"/>
          <w:sz w:val="28"/>
        </w:rPr>
        <w:t>
      3. "Жаңақорған ауданының жер қатынастары бөлімі" коммуналдық мемлекеттік мекемесі осы қаулыдан туындайтын басқа да шаралардың қабылдануын қамтамасыз етсін.</w:t>
      </w:r>
    </w:p>
    <w:bookmarkEnd w:id="3"/>
    <w:bookmarkStart w:name="z8" w:id="4"/>
    <w:p>
      <w:pPr>
        <w:spacing w:after="0"/>
        <w:ind w:left="0"/>
        <w:jc w:val="both"/>
      </w:pPr>
      <w:r>
        <w:rPr>
          <w:rFonts w:ascii="Times New Roman"/>
          <w:b w:val="false"/>
          <w:i w:val="false"/>
          <w:color w:val="000000"/>
          <w:sz w:val="28"/>
        </w:rPr>
        <w:t>
      4. Осы қаулының орындалуын бақылау аудан әкімінің тиісті сала орынбасарына жүктелсін.</w:t>
      </w:r>
    </w:p>
    <w:bookmarkEnd w:id="4"/>
    <w:bookmarkStart w:name="z9" w:id="5"/>
    <w:p>
      <w:pPr>
        <w:spacing w:after="0"/>
        <w:ind w:left="0"/>
        <w:jc w:val="both"/>
      </w:pPr>
      <w:r>
        <w:rPr>
          <w:rFonts w:ascii="Times New Roman"/>
          <w:b w:val="false"/>
          <w:i w:val="false"/>
          <w:color w:val="000000"/>
          <w:sz w:val="28"/>
        </w:rPr>
        <w:t>
      5. Осы қаулы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Рүстемов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Жаңақорған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3227"/>
        <w:gridCol w:w="763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атауы</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Кадастрлік нөмірі</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"Тайпақкөл" Шаруа қожалығы</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10-149-040-1720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шипажайы" Акционерлік қоғамы</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10-149-040-1725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шипажайы" Акционерлік қоғамы</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10-149-040-1807</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10-149-042-176</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әкімінің аппараты" Комуналдық мемлекеттік мекемесі</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10-149-042-247</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"КДСМ Қыран" Жауапкершілік шектеулі серіктестігі</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10-149-040-1006</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"Шоқымазар" Шаруа қожалығы</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10-149-040-1059</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"Береке-И.О" Шаруа қожалығы</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10-149-040-1276</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Шаруа қожалығы</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10-149-040-910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"Береке-И.О" Шаруа қожалығы</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10-149-040-1277</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Шаруа қожалығы</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10-149-040-948</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"Қорған-тас К" Жауапкершілік шектеулі серіктестігі</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10-149-040-1022</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"ШалқияЦинк ЛТД" Жауапкершілік шектеулі серіктестігі</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10-149-042-541</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"Жер-қазына" Жауапкершілік шектеулі серіктестігі</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10-149-040-2237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