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ac37" w14:textId="b0bac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Сұлутөбе ауылдық округінің жергілікті қоғамдастық жиналысының Регламентін бекіту туралы" № 24/12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14/34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Сұлутөбе ауылдық округінің жергілікті қоғамдастық жиналысының Регламентін бекіту туралы" </w:t>
      </w:r>
      <w:r>
        <w:rPr>
          <w:rFonts w:ascii="Times New Roman"/>
          <w:b w:val="false"/>
          <w:i w:val="false"/>
          <w:color w:val="000000"/>
          <w:sz w:val="28"/>
        </w:rPr>
        <w:t>№ 24/12</w:t>
      </w:r>
      <w:r>
        <w:rPr>
          <w:rFonts w:ascii="Times New Roman"/>
          <w:b w:val="false"/>
          <w:i w:val="false"/>
          <w:color w:val="000000"/>
          <w:sz w:val="28"/>
        </w:rPr>
        <w:t xml:space="preserve"> (Нормативтік құқықтық актілердің мемлекеттік тіркеу тізілімінде № 6330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3"/>
    <w:bookmarkStart w:name="z8" w:id="4"/>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w:t>
      </w:r>
    </w:p>
    <w:bookmarkEnd w:id="39"/>
    <w:bookmarkStart w:name="z48" w:id="40"/>
    <w:p>
      <w:pPr>
        <w:spacing w:after="0"/>
        <w:ind w:left="0"/>
        <w:jc w:val="both"/>
      </w:pPr>
      <w:r>
        <w:rPr>
          <w:rFonts w:ascii="Times New Roman"/>
          <w:b w:val="false"/>
          <w:i w:val="false"/>
          <w:color w:val="000000"/>
          <w:sz w:val="28"/>
        </w:rPr>
        <w:t>
      жағдайларды қоспағанда, жиналыс өткізілген күннен бастап екі жұмыс күні ішінде ауылдық округ әкіміне беріледі.</w:t>
      </w:r>
    </w:p>
    <w:bookmarkEnd w:id="40"/>
    <w:bookmarkStart w:name="z49" w:id="4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1" w:id="4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2"/>
    <w:bookmarkStart w:name="z52" w:id="4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3"/>
    <w:bookmarkStart w:name="z53" w:id="4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4"/>
    <w:bookmarkStart w:name="z54" w:id="45"/>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5" w:id="4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6" w:id="4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