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04cf" w14:textId="7a10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2021 жылғы 5 мамырдағы № 842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"Қостанай ауданы әкімдігінің тұрғын үй-коммуналдық шаруашылық, жолаушылар көлігі және автомобиль жолдары бөлімі" мемлекеттік мекемесіне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объектілер бойынша жер учаскелеріне коммуналдық, инженерлік, электр және басқа да желілер мен тораптарды жүргізу және пайдалану мақсатында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қаласынан Заречное ауылына дейін канализациялық сорғы станциясын қайта жаңартумен және Қостанай ауданының Октябрьское ауылын қосумен жалғағыш су тартқышын салу үшін", Қостанай қаласы мекенжайы бойынша орналасқан, жалпы алаңы 0,2040 гектар;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қаласынан Заречное ауылына дейін канализациялық сорғы станциясын қайта жаңартумен және Қостанай ауданының Октябрьское ауылын қосумен жалғағыш су тартқышын салу үшін", Қостанай қаласы мекенжайы бойынша орналасқан, жалпы алаңы 0,0894 гектар.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