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0568" w14:textId="a8c0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17 қарашадағы № 2/12 шешімі</w:t>
      </w:r>
    </w:p>
    <w:p>
      <w:pPr>
        <w:spacing w:after="0"/>
        <w:ind w:left="0"/>
        <w:jc w:val="both"/>
      </w:pPr>
      <w:r>
        <w:rPr>
          <w:rFonts w:ascii="Times New Roman"/>
          <w:b w:val="false"/>
          <w:i w:val="false"/>
          <w:color w:val="ff0000"/>
          <w:sz w:val="28"/>
        </w:rPr>
        <w:t>
      Ескерту. 01.01.2022 бастап қолданысқа енгізіледі - осы шешімінің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