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53f5" w14:textId="7ff5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29 желтоқсандағы № 65-386/VI "Сайрам ауданы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 желтоқсандағы № 10-70/VII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19 желтоқсандағы № 65-386/VI "Сайрам ауданы ауылдық округтерінің 2021-2023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2021-2023 жылдарға арналған бюджеті тиісінше 1, 2 және 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172 611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2021-2023 жылдарға арналған бюджеті тиісінше 4, 5 және 6-қосымшаларға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5 274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2021-2023 жылдарға арналған бюджеті тиісінше 7, 8 және 9-қосымшаларға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2021-2023 жылдарға арналған бюджеті тиісінше 10, 11 және 12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2021-2023 жылдарға арналған бюджеті тиісінше 13, 14 және 15-қосымшаларға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54 646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2021-2023 жылдарға арналған бюджеті тиісінше 16, 17 және 18-қосымшаларға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72 954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32 125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2021-2023 жылдарға арналған бюджеті тиісінше 19, 20 және 21-қосымшаларға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98 819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2021-2023 жылдарға арналған бюджеті тиісінше 22, 23 және 24-қосымшаларға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142 213мың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2021-2023 жылдарға арналған бюджеті тиісінше 25, 26 және 27-қосымшаларға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2021-2023 жылдарға арналған бюджеті тиісінше 28, 29 және 30-қосымшаларға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42 467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12 543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2021-2023 жылдарға арналған бюджеті тиісінше 31, 32 және 33-қосымшаларға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90 691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23 507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11-70/VІI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65-386/VІ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