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e415" w14:textId="b43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28 желтоқсандағы № 379 "2021-2023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8 қазандағы № 50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2020 жылғы 28 желтоқсандағы № 379 "2021-2023 жылдарға арналған ауылдық округтер бюджеті туралы" (нормативтік құқықтық актілерді мемлекеттік тіркеу тізілімінде № 6026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2021-2023 жылдарға арналған бюджеті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52 112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2021-2023 жылдарға арналған бюджеті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2021-2023 жылдарға арналған бюджеті 7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40 421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2021-2023 жылдарға арналған бюджеті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6 477;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33 708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2021-2023 жылдарға арналған бюджеті 13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Созақ ауылдық округінің 2021-2023 жылдарға арналған бюджеті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2021-2023 жылдарға арналған бюджеті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54 979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5 081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2021-2023 жылдарға арналған бюджеті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88 476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2021-2023 жылдарға арналған бюджеті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29 863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2021-2023 жылдарға арналған бюджеті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2021-2023 жылдарға арналған бюджеті 31-қосымшаға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13 501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Тасты ауылдық округінің 2021-2023 жылдарға арналған бюджеті 34-қосымшаға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1 579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