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03c0" w14:textId="0980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10 қыркүйектегі № 40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26 қарашадағы № 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ауылдық округтердің бюджеттері туралы" Сауран аудандық мәслихатының 2021 жылғы 10 қыркүйектегі № 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Бабайқорған ауылдық округінің 2021-2023 жылдарға арналған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Ескі Иқан ауылдық округінің 2021-2023 жылдарға арналған бюджеті тиісінше 4, 5 және 6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-16 089мың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16 089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Жаңа Иқан ауылдық округінің 2021-2023 жылдарға арналған бюджеті тиісінше 7, 8 және 9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11 608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Жібек Жолы ауылдық округінің 2021-2023 жылдарға арналған бюджеті тиісінше 10, 11 және 12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2021-2023 жылдарға арналған бюджеті тиісінше 13, 14 және 15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16 576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Иассы ауылдық округінің 2021-2023 жылдарға арналған бюджеті тиісінше 16, 17 және 18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Қарашық ауылдық округінің 2021-2023 жылдарға арналған бюджеті тиісінше 19, 20 және 21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20 523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Майдантал ауылдық округінің 2021-2023 жылдарға арналған бюджеті тиісінше 22, 23 және 24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Оранғай ауылдық округінің 2021-2023 жылдарға арналған бюджеті тиісінше 25, 26 және 27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10 762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Шаға ауылдық округінің 2021-2023 жылдарға арналған бюджеті тиісінше 31, 32 және 33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23 861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19 436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19 436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2021-2023 жылдарға арналған бюджеті тиісінше 34, 35 және 36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1 078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қосымшаларына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