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b9f3" w14:textId="8c6b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2021 жылғы 27 желтоқсандағы № 19/2 "2022-2024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2022 жылғы 25 тамыздағы № 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"2022-2024 жылдарға арналған Аршалы ауданының кент, ауылдық округтерінің бюджеттері туралы" 2021 жылғы 27 желтоқсандағы № 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Аршалы кентінің бюджеті тиісінше 1, 2, 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3 140,0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Ижев ауылдық округінің бюджеті тиісінше 4, 5, 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Жібек жолы ауылдық округінің бюджеті тиісінше 7, 8, 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386 248,9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386 248,9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Анар ауылдық округінің бюджеті тиісінше 10, 11,12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Бірсуат ауылдық округінің бюджеті тиісінше 13, 14, 15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Түрген ауылдық округінің бюджеті тиісінше 16, 17, 18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90 735,5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84 650,5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Константинов ауылдық округінің бюджеті тиісінше 19, 20, 21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Михайлов ауылдық округінің бюджеті тиісінше 22, 23, 24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Волгодонов ауылдық округінің бюджеті тиісінше 25, 26, 27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139 862,9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Арнасай ауылдық округінің бюджеті тиісінше 28, 29, 30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Сараба ауылдық округінің бюджеті тиісінше 31, 32, 33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Бұлақсай ауылдық округінің бюджеті тиісінше 34, 35, 36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Ақбұлақ ауылдық округінің бюджеті тиісінше 37, 38, 39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