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dcdda" w14:textId="63dc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27 желтоқсандағы № 7С-14/1 "2022-2024 жылдарға арналған Макинск қаласының, Бұланды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24 қарашадағы № 7С-28/2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Макинск қаласының, Бұланды ауданының ауылдық округтерінің бюджеттері туралы" 2021 жылғы 27 желтоқсандағы № 7С-14/1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Макинск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121757,2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20753,0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123110,7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Вознесенка ауылдық округінің бюджеті тиісінше 4, 5 және 6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49995,7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1995,6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Қараөзек ауылдық округінің бюджеті тиісінше 7, 8 және 9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33260,1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1084,1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Айнакөл ауылдық округінің бюджеті тиісінше 10, 11 және 12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Амангелді ауылдық округінің бюджеті тиісінше 13, 14 және 15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23737,6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16454,6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Капитоновка ауылдық округінің бюджеті тиісінше 16, 17 және 18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26064,4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14673,0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Новобратск ауылдық округінің бюджеті тиісінше 19, 20 және 21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26740,6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8537,6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Никольск ауылдық округінің бюджеті тиісінше 22, 23 және 24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Карамышевка ауылдық округінің бюджеті тиісінше 25, 26 және 27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28228,8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2022-2024 жылдарға арналған Ерголка ауылдық округінің бюджеті тиісінше 31, 32 және 33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23499,2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700,7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Вознесенка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Қараөзек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Айнакөл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Амангелді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Капитоновка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Новобратск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Никольск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Карамышевка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Журавлевка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Ерголка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Алтынды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Макинск қаласының, Бұланды ауданының ауылдық округтерінің бюджеттерiне облыстық бюджеттен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 қаласы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