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3113" w14:textId="0143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Біржан сал ауданы мәслихатының 2022 жылғы 22 шілдедегі № С-18/18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Біржан сал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22 шілдедегі</w:t>
            </w:r>
            <w:r>
              <w:br/>
            </w:r>
            <w:r>
              <w:rPr>
                <w:rFonts w:ascii="Times New Roman"/>
                <w:b w:val="false"/>
                <w:i w:val="false"/>
                <w:color w:val="000000"/>
                <w:sz w:val="20"/>
              </w:rPr>
              <w:t>№ С-18/18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Біржан сал ауданының аумағында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Біржан сал ауданының аумағында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Заңына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0" w:id="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1" w:id="9"/>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2"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3" w:id="1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тиісті аудандық сайлау комиссиясына одан әрі енгізу үшін Біржан сал ауданы әкімінің аудандық маңызы бар қала,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4" w:id="12"/>
    <w:p>
      <w:pPr>
        <w:spacing w:after="0"/>
        <w:ind w:left="0"/>
        <w:jc w:val="both"/>
      </w:pPr>
      <w:r>
        <w:rPr>
          <w:rFonts w:ascii="Times New Roman"/>
          <w:b w:val="false"/>
          <w:i w:val="false"/>
          <w:color w:val="000000"/>
          <w:sz w:val="28"/>
        </w:rPr>
        <w:t>
      7. 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6" w:id="14"/>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12. Жиналысты Біржан сал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Біржан сал ауданы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0" w:id="18"/>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Біржан сал ауданы мәслихатының қарауына беріледі.</w:t>
      </w:r>
    </w:p>
    <w:bookmarkStart w:name="z23" w:id="21"/>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4" w:id="22"/>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Біржан сал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Біржан сал ауданы әкімнің және Біржан сал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Біржан сал ауданы мәслихатының таяудағы отырысында алдын ала талқылаудан және оның шешімінен кейін Біржан сал ауданының әкімі шешім қабылдайды.</w:t>
      </w:r>
    </w:p>
    <w:bookmarkStart w:name="z25" w:id="23"/>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
    <w:bookmarkStart w:name="z30" w:id="28"/>
    <w:p>
      <w:pPr>
        <w:spacing w:after="0"/>
        <w:ind w:left="0"/>
        <w:jc w:val="both"/>
      </w:pPr>
      <w:r>
        <w:rPr>
          <w:rFonts w:ascii="Times New Roman"/>
          <w:b w:val="false"/>
          <w:i w:val="false"/>
          <w:color w:val="000000"/>
          <w:sz w:val="28"/>
        </w:rPr>
        <w:t>
      21. Қабылданған шешімдер қайта орындалмаған немесе сапасыз орындалған жағдайда, жиналыс Біржан сал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