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143" w14:textId="e0bd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24 желтоқсандағы № 18/2 "2022-2024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10 маусымдағы № 26/3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Есіл қаласының, Красногорский кентінің, ауылдардың және ауылдық округтердің бюджеттері туралы" 2021 жылғы 24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211928,1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126840,1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214465,1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14951мың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15649,5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55491,3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49234,3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55937,4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55155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55974,2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39435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30914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39795,2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17409,8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18473,6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45288,4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39625,4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45375,5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14668,4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4135,4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15020,6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16004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16262,8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39231,5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40085,7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15236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15839,7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14753,5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8890,5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14881,9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13048,6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5752,6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13475,6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21650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22600,9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36374,3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27045,3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36631,5 мың теңге;";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А.Мақсұмхан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маусым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