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d30e" w14:textId="791d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24 желтоқсандағы № 18/2 "2022-2024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1 желтоқсандағы № 33/2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Есіл қаласының, Красногорский кентінің, ауылдардың және ауылдық округтердің бюджеттері туралы" 2021 жылғы 24 желтоқсандағы № 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189414,2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105686,2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191951,2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18291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18989,5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60674,5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53950,5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61120,6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57247,1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46271,1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58066,3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42521,1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35617,1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42881,3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18268,8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19332,6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49362,6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49449,7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16222,4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16574,6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17592,8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17851,6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43066,5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31553,5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43920,7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17929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18532,7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40138,1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40266,5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20773,6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21200,6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27959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28909,9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37092,3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37349,5 мың теңге;";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желтоқсан 2022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Бұзылық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Двуречный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Жаныспай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Знаменка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Интернациональный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Красивинский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Красногорский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Московский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Свободный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