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8713" w14:textId="1a78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24 желтоқсандағы № 18/2 "2022-2024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22 желтоқсандағы № 34/5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Есіл қаласының, Красногорский кентінің, ауылдардың және ауылдық округтердің бюджеттері туралы" 2021 жылғы 24 желтоқсандағы № 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191725,3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107997,3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194262,3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22084,5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22783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62650,8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63096,9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58007,3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58826,5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45835,7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38931,7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46195,9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21964,8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23028,6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50381,6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50468,7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18988,4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19340,6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20425,6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20684,4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46112,2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46966,4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19951,4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20555,1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42975,8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43104,2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20773,6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31167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32117,9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39722,8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39980 мың теңге;";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2022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