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d5ae" w14:textId="6c3d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24 желтоқсандағы № 7ВС-19-1 "2022-2024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29 маусымдағы № 7ВС-31-1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Жақсы ауылының бюджеті тиісінше 1, 2 және 3 қосымшаларға сәйкес, оның ішінде 2022 жылға келесі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Жақсы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155854,2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135515,2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(-39566,8)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- 39566,8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Жаңа Қима ауылдық округінің бюджеті тиісінше 4, 5 және 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68027,4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57155,4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105219,5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(-37192,1)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- 37192,1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Запорожье ауылдық округінің бюджеті тиісінше 7, 8 және 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91753,9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80358,9мың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шығындар-170054,6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(-78300,7)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78300,7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Белағаш ауылының бюджеті тиісінше 10, 11 және 12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38859,8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32252,8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шығындар-43306,4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(-4446,6)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- 4446,6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Киев ауылының бюджеті тиісінше 13, 14 және 15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(-1002,3)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1002,3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Новокиенка ауылының бюджеті тиісінше 16, 17 және 18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50971,3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41956,7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51600,5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(-629,2)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Подгорное ауылының бюджеті тиісінше 19, 20 және 21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53450,8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48575,8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(-163,2)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Терісаққан ауылының бюджеті тиісінше 22, 23 және 24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22587,3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 – 20960,3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Чапай ауылының бюджеті тиісінше 25, 26 және 27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Беловод ауылдық округінің бюджеті тиісінше 28, 29 және 30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61306,5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55188,5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62164,1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(-857,6)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Ешім ауылдық округінің бюджеті тиісінше 31, 32 және 33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75234,2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68117,2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(-270,4)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270,4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Калинин ауылдық округінің бюджеті тиісінше 34, 35 және 36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23873,5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17976,5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(-442,3)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Қызылсай ауылдық округінің бюджеті тиісінше 37, 38 және 39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43854,8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31819,8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(-356,6)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2022-2024 жылдарға арналған Тарасов ауылдық округінің бюджеті тиісінше 40, 41 және 42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51305,4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(-287,1)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- 287,1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қосымшалар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қосымшаларына сәйкес жаңа редакцияда мазмұндалсын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Жақсы ауылының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 Қийма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Запорожье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Белағаш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Киев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Новокиенка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Подгорное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Терісаққан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Чапай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Беловод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Ешім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Калинин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Тарасов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ағымдағы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Киевское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шығару және жинау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контейнерлеріне арналған қоршауларды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қазандыққа арналған маркалы 9-6,5 кВт дизель генераторын орнату және жеткізу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есеп үстелінің мамандары үшін 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есеп үстелінің мамандары үшін интернет байланысын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шығару және жинау жөніндегі қызметтер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селосының сұрапыл қоқыс үйінділерін шығару, соның ішінде техниканы жалға алу бойынша жұмыстарды орындау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ауылына арналған баннерлер дайындау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бейнебақылау жүйелерін орнату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жыл бойы бейнебақылау жүйесіне техникалық қызмет көрсету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үшін ҚТҚ жинау контейнерлерін дайындау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бар сәкілер мен ауылға арналған урналар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көріктендіру үшін шаруашылық мүкәммалын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жөндеуге қосалқы бөлшектер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Советская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Әубәкіров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абаттандыру бойынша жұмыстар (шағын сәулет нысандарын, орындықтарды, қоқыс жәшіктерін, шамдар мен аялдамаларды жасау және орнату)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әкімдіктің ашылуы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 объектілерге техникалық түгендеу және техникалық тексеру жүргізуге (сорғы станциясы, мұнара, 2 резервуар, 2 ұңғыма)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ғимараттың қазандығындағы қазандықты, сорғыны және құбырды ауыстыру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ауылында су айдау мұнарасын техникалық тексеруге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 үшін құрылыс материалдары мен есіктер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үшін қосалқы бөлшектер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бейнекамераларға техникалық қызмет көрсету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а. балалар ойын алаңына арналған конструкцияларды дайындауға, жеткізуге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а. балалар ойын алаңына арналған конструкцияларды дайындауға, жеткізуге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а., Қайрақты ауылында балалар алаңы үшін қоршаулар жасауға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 Баубек батыр көшесіне бейнебақылау орнату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ауылдық округінің Монастырка ауылында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шығару және жинау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ауылдық округінің Моховое ауылында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автокөліктің қосалқы бөлшектерін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жөндеу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шығару және жинау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ауылында бейнекамералар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ауылдық округінің Қазақ ауылында балалар ойын алаңын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құжаттарды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және жинау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"Новокинека ауылы әкімінің аппараты" ММ үшін жер учаскесіне құжаттарды дайындауға және беруге Октябрьская көшесі 44, 2 пәтер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ауылында жұмыс істемейтін 42 су құбыры жүйесінің құдықтарын демонтаждау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қайта даярлауға және олардың біліктілігін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оқуына байланысты іссапар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шегінде жер учаскесіне жер-кадастр жоспарын дайындауға, жарықтандыру үшін электр беру желісін орнату бойынша жер учаскелерінің нақтылы шекарасын белгілеуге (шығаруға)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а. көше жарығын салуға жер учаскесін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күтіп ұстау жөніндегі қызметтер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