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7cc2" w14:textId="e047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2021 жылғы 23 желтоқсандағы № 7С-18/2 "2022-2024 жылдарға арналған кенттердің,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2022 жылғы 18 қарашадағы № 7С-32/2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"2022-2024 жылдарға арналған кенттердің, ауылдық округтердің бюджеттері туралы" 2021 жылғы 23 желтоқсандағы № 7С-18/2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366 605,9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34 218,9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325 987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366 606,1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145 909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93 668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152 539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129 327,5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23 917,2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345,6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105 042,5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131 991,4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32 517,1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21 082,1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32 517,1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159 480,6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14 812,2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123 323,4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165 680,6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49 369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39 077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49 769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56 041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13 652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58 841,7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42 803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(-1 950)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1 950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30 596,2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25 579,2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32 016,2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82 363,6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3 124,4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585,6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78 653,6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86 161,4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(-3 797,8)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3 797,8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21 244,4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13 917,4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22 044,4 мың теңге;";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Шортанды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Жолымбет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Дамса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Новокубанка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Бозайғыр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Бектау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Петровка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Андреевка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Раевка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Пригородный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Новоселовка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3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нысаналы трансферттер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орталықтары, мемлекеттік ұйымдарының жұмыскерлерінің жалақысын көтеруге,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524508,7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Жолымбет кентінде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Дамса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кентіндегі Шәуәлі Рахымжанов атындағы орталық саябақты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ауылында тұрғын үйлерді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тұрғын үйлерді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2 ойын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ауылында ойын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ауылында ойын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ауылында ойын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жазғы су құбырын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 әзірлеуге және автомобиль жолдарын жөндеуге,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Бозайғыр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Жолымбет кентінің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Пригородный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Андреевка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Петровка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Шортанды кентінің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ауданының Пригородное - Камышенка автомобиль жолдарын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4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нысаналы трансферттер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Раевка ауылдық округінің автомобиль жолдарының жұмыс істеуін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Бектау ауылдық округінің автомобиль жолдарының жұмыс істеуін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Дамса ауылдық округінің автомобиль жолдарының жұмыс істеуін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Пригородный ауылдық округінің автомобиль жолдарының жұмыс істеуін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Шортанды кентінің санитариясын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Раевка ауылдық округі әкімінің аппаратын ұстауға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Дамса ауылдық округінің күрделі шығыстарына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мұқтаж азаматтарына үйінде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