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718a" w14:textId="af27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29 сәуірдегі № 264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143876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арнайы мақсаттағы бөліністері қызметкерлерінің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реттік нөмірі 9-жол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жасағының барлық атауларындағы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заңнамада белгіленген тәртіпте:</w:t>
      </w:r>
    </w:p>
    <w:bookmarkEnd w:id="1"/>
    <w:bookmarkStart w:name="z5" w:id="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қосу үшін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полиция </w:t>
            </w:r>
          </w:p>
          <w:p>
            <w:pPr>
              <w:spacing w:after="20"/>
              <w:ind w:left="20"/>
              <w:jc w:val="both"/>
            </w:pPr>
          </w:p>
          <w:p>
            <w:pPr>
              <w:spacing w:after="20"/>
              <w:ind w:left="20"/>
              <w:jc w:val="both"/>
            </w:pPr>
            <w:r>
              <w:rPr>
                <w:rFonts w:ascii="Times New Roman"/>
                <w:b w:val="false"/>
                <w:i/>
                <w:color w:val="000000"/>
                <w:sz w:val="20"/>
              </w:rPr>
              <w:t xml:space="preserve">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