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f696" w14:textId="934f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20 желтоқсандағы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223 312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218 092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241 808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жылға арналған Жайсан ауылдық округінің бюджетінде аудандық бюджеттен берілетін трансферттер көлемі – 157 135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343 032,9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341 626,9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343 559,7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 жылға арналған Қаратоғай ауылдық округінің бюджетінде Қазақстан Республикасының Ұлттық қорынан берілетін трансферттер көлемі – 221 697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 жылға арналған Қаратоғай ауылдық округінің бюджетінде аудандық бюджеттен берілетін трансферттер көлемі – 6 000,9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41 760,8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42 192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72 246,2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69 915,2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72 497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151 307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147 477,7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151 475,1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2022 жылға арналған Родников ауылдық округінің бюджетінде Қазақстан Республикасының Ұлттық қорынан берілетін трансферттер көлемі – 70 461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2022 жылға арналған Родников ауылдық округінің бюджетінде аудандық бюджеттен берілетін трансферттер көлемі – 7 322,7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183 841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салықьық емес түсімдер –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174 469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195 302,4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27 733,3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24 385,3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28 948 мың теңге;".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желтоқсандағы № 146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