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f8b1" w14:textId="5f7f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30 желтоқсандағы № 137 "2022-2024 жылдарға арналған Қ. Жұбанов атындағы ауылдық округ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27 маусымдағы № 223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"2022 - 2024 жылдарға арналған Қ. Жұбанов атындағы ауылдық округ бюджетін бекіту туралы" 2021 жылғы 30 желтоқсандағы № 137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Қ. Жұбанов атындағы ауылдық округ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41 912 мың теңге:</w:t>
      </w:r>
    </w:p>
    <w:p>
      <w:pPr>
        <w:spacing w:after="0"/>
        <w:ind w:left="0"/>
        <w:jc w:val="both"/>
      </w:pPr>
      <w:r>
        <w:rPr>
          <w:rFonts w:ascii="Times New Roman"/>
          <w:b w:val="false"/>
          <w:i w:val="false"/>
          <w:color w:val="000000"/>
          <w:sz w:val="28"/>
        </w:rPr>
        <w:t>
      салықтық түсімдер – 1 185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түсімдері – 40 727 мың теңге;</w:t>
      </w:r>
    </w:p>
    <w:p>
      <w:pPr>
        <w:spacing w:after="0"/>
        <w:ind w:left="0"/>
        <w:jc w:val="both"/>
      </w:pPr>
      <w:r>
        <w:rPr>
          <w:rFonts w:ascii="Times New Roman"/>
          <w:b w:val="false"/>
          <w:i w:val="false"/>
          <w:color w:val="000000"/>
          <w:sz w:val="28"/>
        </w:rPr>
        <w:t>
      2) шығындар – 42 698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-786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786</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786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 жылға арналған Қ. Жұбанов атындағы ауылдық округінің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674 мың теңге нысаналы ағымдағы трансферттер түскені ескерілсін.";</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маусымдағы № 223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137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Қ. Жұбанов атындағы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