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974f" w14:textId="22b9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30 қыркүйектегі № 1008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098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16899 болып тіркелді).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беру саласындағы Қазақстан Республикасы Қорғаныс министрлігінің әскери оқу орындары ұсынатын қызметтер" деген бөлімі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сыйақы беру;</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w:t>
            </w:r>
          </w:p>
          <w:p>
            <w:pPr>
              <w:spacing w:after="20"/>
              <w:ind w:left="20"/>
              <w:jc w:val="both"/>
            </w:pPr>
            <w:r>
              <w:rPr>
                <w:rFonts w:ascii="Times New Roman"/>
                <w:b w:val="false"/>
                <w:i w:val="false"/>
                <w:color w:val="000000"/>
                <w:sz w:val="20"/>
              </w:rPr>
              <w:t>
6) ғылыми зерттеулер жүргізу шеңберіндегі түзетулер;</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p>
          <w:p>
            <w:pPr>
              <w:spacing w:after="20"/>
              <w:ind w:left="20"/>
              <w:jc w:val="both"/>
            </w:pPr>
            <w:r>
              <w:rPr>
                <w:rFonts w:ascii="Times New Roman"/>
                <w:b w:val="false"/>
                <w:i w:val="false"/>
                <w:color w:val="000000"/>
                <w:sz w:val="20"/>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w:t>
            </w:r>
          </w:p>
          <w:p>
            <w:pPr>
              <w:spacing w:after="20"/>
              <w:ind w:left="20"/>
              <w:jc w:val="both"/>
            </w:pPr>
            <w:r>
              <w:rPr>
                <w:rFonts w:ascii="Times New Roman"/>
                <w:b w:val="false"/>
                <w:i w:val="false"/>
                <w:color w:val="000000"/>
                <w:sz w:val="20"/>
              </w:rPr>
              <w:t>
15) мамандардың біліктілігін арттыру;</w:t>
            </w:r>
          </w:p>
          <w:p>
            <w:pPr>
              <w:spacing w:after="20"/>
              <w:ind w:left="20"/>
              <w:jc w:val="both"/>
            </w:pPr>
            <w:r>
              <w:rPr>
                <w:rFonts w:ascii="Times New Roman"/>
                <w:b w:val="false"/>
                <w:i w:val="false"/>
                <w:color w:val="000000"/>
                <w:sz w:val="20"/>
              </w:rPr>
              <w:t>
16) оқу-материалдық базаны нығайту;</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w:t>
            </w:r>
          </w:p>
          <w:p>
            <w:pPr>
              <w:spacing w:after="20"/>
              <w:ind w:left="20"/>
              <w:jc w:val="both"/>
            </w:pPr>
            <w:r>
              <w:rPr>
                <w:rFonts w:ascii="Times New Roman"/>
                <w:b w:val="false"/>
                <w:i w:val="false"/>
                <w:color w:val="000000"/>
                <w:sz w:val="20"/>
              </w:rPr>
              <w:t>
20) көрсетілетін көлік қызметтерін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23) оқыту тренингтерін, семинарларын өткізу;</w:t>
            </w:r>
          </w:p>
          <w:p>
            <w:pPr>
              <w:spacing w:after="20"/>
              <w:ind w:left="20"/>
              <w:jc w:val="both"/>
            </w:pPr>
            <w:r>
              <w:rPr>
                <w:rFonts w:ascii="Times New Roman"/>
                <w:b w:val="false"/>
                <w:i w:val="false"/>
                <w:color w:val="000000"/>
                <w:sz w:val="20"/>
              </w:rPr>
              <w:t>
24) оқу және ғылыми мақсаттар үшін бейнероликтерді, бейнефильмдерді, аудиожазбаларды дайындау</w:t>
            </w:r>
          </w:p>
          <w:p>
            <w:pPr>
              <w:spacing w:after="20"/>
              <w:ind w:left="20"/>
              <w:jc w:val="both"/>
            </w:pPr>
            <w:r>
              <w:rPr>
                <w:rFonts w:ascii="Times New Roman"/>
                <w:b w:val="false"/>
                <w:i w:val="false"/>
                <w:color w:val="000000"/>
                <w:sz w:val="20"/>
              </w:rPr>
              <w:t>
(111, 112, 113, 121, 122, 124, 131, 132, 135, 136, 141, 142, 143,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Республикасының Қорғаныс министрінің 2018 жылдың 3 қарашадағы № 751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17730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функционалдық тағайындалуы бойынша ғылыми-эксперименттік, оқу-материалдық, спорттық базаны, сондай-ақ конференц-залдарды, брифинг-залдарды,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мен орта буынның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Республикасының "Қазақстан Республикасының қорғанысы және Қарулы Күштері туралы" Заңының </w:t>
            </w:r>
            <w:r>
              <w:rPr>
                <w:rFonts w:ascii="Times New Roman"/>
                <w:b w:val="false"/>
                <w:i w:val="false"/>
                <w:color w:val="000000"/>
                <w:sz w:val="20"/>
              </w:rPr>
              <w:t>17-бабы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17-бабының </w:t>
            </w:r>
            <w:r>
              <w:rPr>
                <w:rFonts w:ascii="Times New Roman"/>
                <w:b w:val="false"/>
                <w:i w:val="false"/>
                <w:color w:val="000000"/>
                <w:sz w:val="20"/>
              </w:rPr>
              <w:t>1-тармағы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 деген бөлімі мынадай редакцияда жазылсын: </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0"/>
              </w:rPr>
              <w:t>83-бабы</w:t>
            </w:r>
            <w:r>
              <w:rPr>
                <w:rFonts w:ascii="Times New Roman"/>
                <w:b w:val="false"/>
                <w:i w:val="false"/>
                <w:color w:val="000000"/>
                <w:sz w:val="20"/>
              </w:rPr>
              <w:t>,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деген бөлімі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0"/>
              </w:rPr>
              <w:t>қаулысына</w:t>
            </w:r>
            <w:r>
              <w:rPr>
                <w:rFonts w:ascii="Times New Roman"/>
                <w:b w:val="false"/>
                <w:i w:val="false"/>
                <w:color w:val="000000"/>
                <w:sz w:val="20"/>
              </w:rPr>
              <w:t xml:space="preserve"> сәйкес пациенттерді тамақтандыруға және жұмсақ мүкәммалмен жабдықтау;</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 жылу, электр энергиясына, ыстық және суық суға ақы төлеу;</w:t>
            </w:r>
          </w:p>
          <w:p>
            <w:pPr>
              <w:spacing w:after="20"/>
              <w:ind w:left="20"/>
              <w:jc w:val="both"/>
            </w:pPr>
            <w:r>
              <w:rPr>
                <w:rFonts w:ascii="Times New Roman"/>
                <w:b w:val="false"/>
                <w:i w:val="false"/>
                <w:color w:val="000000"/>
                <w:sz w:val="20"/>
              </w:rPr>
              <w:t xml:space="preserve">
5) өзге де шығыстарға, оның ішінде "Ақпараттандыру туралы" Қазақстан Республикасының Заңы 1-бабының </w:t>
            </w:r>
            <w:r>
              <w:rPr>
                <w:rFonts w:ascii="Times New Roman"/>
                <w:b w:val="false"/>
                <w:i w:val="false"/>
                <w:color w:val="000000"/>
                <w:sz w:val="20"/>
              </w:rPr>
              <w:t xml:space="preserve">44) тармақшасына </w:t>
            </w:r>
            <w:r>
              <w:rPr>
                <w:rFonts w:ascii="Times New Roman"/>
                <w:b w:val="false"/>
                <w:i w:val="false"/>
                <w:color w:val="000000"/>
                <w:sz w:val="20"/>
              </w:rPr>
              <w:t xml:space="preserve">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w:t>
            </w:r>
          </w:p>
          <w:p>
            <w:pPr>
              <w:spacing w:after="20"/>
              <w:ind w:left="20"/>
              <w:jc w:val="both"/>
            </w:pPr>
            <w:r>
              <w:rPr>
                <w:rFonts w:ascii="Times New Roman"/>
                <w:b w:val="false"/>
                <w:i w:val="false"/>
                <w:color w:val="000000"/>
                <w:sz w:val="20"/>
              </w:rPr>
              <w:t xml:space="preserve">
6) № ҚР ДСМ-309/2020 </w:t>
            </w:r>
            <w:r>
              <w:rPr>
                <w:rFonts w:ascii="Times New Roman"/>
                <w:b w:val="false"/>
                <w:i w:val="false"/>
                <w:color w:val="000000"/>
                <w:sz w:val="20"/>
              </w:rPr>
              <w:t>бұйрықпен</w:t>
            </w:r>
            <w:r>
              <w:rPr>
                <w:rFonts w:ascii="Times New Roman"/>
                <w:b w:val="false"/>
                <w:i w:val="false"/>
                <w:color w:val="000000"/>
                <w:sz w:val="20"/>
              </w:rPr>
              <w:t xml:space="preserve">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 Заңының 24-бабының </w:t>
            </w:r>
            <w:r>
              <w:rPr>
                <w:rFonts w:ascii="Times New Roman"/>
                <w:b w:val="false"/>
                <w:i w:val="false"/>
                <w:color w:val="000000"/>
                <w:sz w:val="20"/>
              </w:rPr>
              <w:t>2-1 тармағы</w:t>
            </w: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жылдың 30 қазандағы № 871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19541 болып тіркелген).</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мынадай мазмұндағы "Қазақстан Республикасы Жоғарғы Сотының жанындағы Сот төрелігі академиясы" РММ-нің көрсетілітін қызметтер" деген бөліммен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РММ-нің көрсетілітін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өткізуден түскен мынадай  бағытта жұмсалады:</w:t>
            </w:r>
          </w:p>
          <w:p>
            <w:pPr>
              <w:spacing w:after="20"/>
              <w:ind w:left="20"/>
              <w:jc w:val="both"/>
            </w:pPr>
            <w:r>
              <w:rPr>
                <w:rFonts w:ascii="Times New Roman"/>
                <w:b w:val="false"/>
                <w:i w:val="false"/>
                <w:color w:val="000000"/>
                <w:sz w:val="20"/>
              </w:rPr>
              <w:t xml:space="preserve">
1) оқу-материалдық базаны нығайтуға; </w:t>
            </w:r>
          </w:p>
          <w:p>
            <w:pPr>
              <w:spacing w:after="20"/>
              <w:ind w:left="20"/>
              <w:jc w:val="both"/>
            </w:pPr>
            <w:r>
              <w:rPr>
                <w:rFonts w:ascii="Times New Roman"/>
                <w:b w:val="false"/>
                <w:i w:val="false"/>
                <w:color w:val="000000"/>
                <w:sz w:val="20"/>
              </w:rPr>
              <w:t>
2) ақылы қызмет пен жұмыстарды өткізуге қатысқан профессорлық- 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 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xml:space="preserve">
10) аударма қызметтерін сатып алуға; </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20107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 ‒ 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