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ddc5" w14:textId="c9bd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2022 жылғы 30 желтоқсандағы № 687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№498 "Мүгедектігі бар адамдар үшін жұмыс орындарын квоталау қағидаларын бекіту туралы" (нормативтік құқықтық актілерді мемлекеттік тіркеудін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мүгедектігі бар адамдарды жұмысқа орналастыруға көмек көрсету мақсатында, Аягөз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адамдарды жұмысқа орналастыру үшін 2023 жылға арналған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50 (елуден) 100 (жүз) адамға дейін – жұмыскерлердің тізімдік санының 2 (екі) пайыз мөлшерін;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101 (жүз бір) адамнан 250 (екі жүз елу) адамға дейін – жұмыскерлердің тізімдік санының 3 (үш) пайыз мөлшерін;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251 (екі жүз елу бір) адамнан астам – жұмыскерлердің тізімдік санының 4 (төрт) пайыз мөлшерін құрайды.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"Аягөз ауданының жұмыспен қамту және әлеуметтік бағдарламалар бөлімі" мемлекеттік мекемесі Қазақстан Республикасының заңамасында белгіленген тәртіппен осы қаулыны Аягөз ауданының әкімдігінің интернет-ресурсында орналастыруды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ауданы әкімдігінің 2021 жылғы 21 қаңтардағы №59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8381 нөмірімен тіркелген, 2021 жылғы 26 қаңтарда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М. Татеновке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әкімдігінің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"30" желтоқсан №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 үшін жұмыс орындарына квота белгіленетін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орташа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Денсаулық сақтау басқармасының "Аягөз ауданының көпсалалы орталық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Аягөз ауданының мәдениет, тілдерді дамыту, денешынықтыру және спорт бөлімінің "Қозы Корпеш-Баян сұлу" мәдениет үйі"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Минстрлігінің “Аягөз аудандық пайдалану бөлімі” Республикалық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Аягөз ауданы білім бөлімінің "Қалалық қазақ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Аягөз ауданы білім бөлімінің "№ 1 жалпы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Аягөз ауданы білім бөлімінің "К.Бозтаев атындағы қазақ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Аягөз ауданы білім бөлімінің "Дулат Бабатайұлы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білім басқармасының Аягөз ауданы білім бөлімінің "мектеп жанындағы интернаты бар жалпы орта білім беретін № 6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Аягөз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"№10 қазақ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Аягөз ауданы білім бөлімінің "С.Ғаббасов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