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c3ca" w14:textId="a2d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28 желтоқсандағы XII сессиясының "2022-2024 жылдарға арналған кенттер, ауылдық округтер бюджеттері туралы" № 100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7 желтоқсандағы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"2022-2024 жылдарға арналған кенттер, ауылдық округтер бюджеттері туралы" 2021 жылғы 28 желтоқсандағы №100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№162758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211 179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200 304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16 278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184 026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200 315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67 354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66 885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67 419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41 142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36 615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41 143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35 212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39 327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37 674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53 368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-14 016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14 016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14 016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40 161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39 767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48 988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48 114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32 191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30 677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32 191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38 685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35 194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38 687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57 110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51 259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61 777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-4 667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4 667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4 667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51 867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50 058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51 868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38 848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40 613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45 024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5 542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39 482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45 027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42 203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1 423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40 780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42 203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2022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2022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2022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2022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2022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2022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2022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2022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2022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2022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2022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4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