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4a8e" w14:textId="f32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13 сессиясының 2021 жылғы 28 желтоқсандағы № 7 "2022-2024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31 наурыздағы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13 сессиясының 2021 жылғы 28желтоқсаңдағы №7 "2022-2024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82 273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67 203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83 682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87 930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24 940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657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62 333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89 475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43 260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92 754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10 045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6 300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76 409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94 500мың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76 357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5 150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71 207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76 358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80 425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73 795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80 625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131 490мың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24 645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1 402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105 270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134 812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39 511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37 995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40 388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42 416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1 366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41 050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43 496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28 098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43 575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2 300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41 275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43 904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56 103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1 569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54 534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56 266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43 690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4 678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39 012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44 937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61 202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7 563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1 900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51 739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61 863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50 701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5 512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5 214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39 975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51 274мың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27 506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2022-2024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45 013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1 570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43 305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45 762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749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52 946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34 502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18 444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54 706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1 760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2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Ғабиден Мұстафин кенті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2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Доскей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27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27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Ростов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28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28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Ақбел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шешіміне 8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28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шешіміне 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29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ауылының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Жанаталап ауылының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шешіміне 11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29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ауылының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29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Жаңаөзен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шешіміне 13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30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Тоғызқұдық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30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Үмүткер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30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Шешенқара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