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86ae" w14:textId="24a8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Қырғыз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Қырғыз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Қырғыз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- 28/227</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Қырғыз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Қырғыз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Қырғыз ауылдық округінің Бүркітті ауылы, Борлыбұлақ ауылы, Бүркітті станциясы, Жәнібек ауылы, Кент ауылы (бұдан әрі - Қырғыз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Қырғыз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Қырғыз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Қырғыз ауылдық округінің әкімі (бұдан әрі- Қырғыз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Қырғыз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Қырғыз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Қырғыз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Қырғыз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Қырғыз ауылдық округінің әкімі немесе ол уәкілеттік берген тұлға ашады. Қырғыз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Қырғыз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Қырғыз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- 28/227</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Қырғыз ауылдық округінің Бүркітті ауылы, Борлыбұлақ ауылы, Бүркітті станциясы, Жәнібек ауылы, Кент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ауылы, Борлыбұлақ ауылы, Бүркітті станциясы, Жәнібек ауылы, Кент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Теряев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Борлыбұлақ ауылы, Борлыбұлақ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станциясы, Бүркітті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 Жәнібек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ауылы, Кент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