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0880" w14:textId="4a70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қауіпсіздік комитетінің Шекара қызметінде қызметтік жануарларды дайындау және күтіп ұстау үшін мүлікпен жабдықтау нормаларын бекіту туралы" Қазақстан Республикасы Ұлттық қауіпсіздік комитеті Төрағасының 2015 жылғы 3 маусымдағы № 45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2022 жылғы 23 шiлдедегi № 42/қе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"Қазақстан Республикасы Ұлттық қауіпсіздік комитетінің Шекара қызметінде қызметтік жануарларды дайындау және күтіп ұстау үшін мүлікпен жабдықтау нормаларын бекіту туралы" Қазақстан Республикасы Ұлттық қаупсіздік комитеті Төрағасының 2015 жылғы 3 маусымдағы № 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мемлекеттік тіркеу тізілімінде № 11544 болып тіркелген) мынадай өзгерістер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тақырыбы мынадай редакцияда жазылсын: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Ұлттық қауіпсіздік комитетінің Шекара қызметі мен Шекара академиясында қызметтік жануарларды дайындау және күтіп ұстау үшін мүлікпен жабдықтау нормаларын бекіту туралы";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Қазақстан Республикасы Заңының 26-бабының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Қоса беріліп отырған Қазақстан Республикасы Ұлттық қауіпсіздік комитетінің Шекара қызметі мен Шекара академиясында қызметтік жануарларды дайындау және күтіп ұстау үшін мүлікпен жабдықтау нормалары бекітілсін";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 Ұлттық қауіпсіздік комитетінің Шекара қызметі мен Шекара академиясында қызметтік жануарларды дайындау және күтіп ұстау үшін мүлікпен жабдықтау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қосымшаға сәйкес жаңа редакцияда жазылсын.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Ұлттық қауіпсіздік комитетінің Шекара қызметі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осы бұйрықты Қазақстан Республикасы Үкіметінің 2016 жылғы 25 шілдедегі № 439 қаулысымен бекітілген Қазақстан Республикасы нормативтік құқықтық актілерінің мемлекеттік тізілімін, Қазақстан Республикасы нормативтік құқықтық актілерінің эталондық бақылау банкін жүргізу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Қазақстан Республикасы нормативтік құқықтық актілерінің эталондық бақылау банкіне орналастыру үшін Қазақстан Республикасы Әділет министрлігінің "Қазақстан Республикасының Заңнама және құқықтық ақпарат институты" шаруашылық жүргізу құқығындағы республикалық мемлекеттік кәсіпорынына жіберуді;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 Қазақстан Республикасы Ұлттық қауіпсіздік комитетінің интернет-ресурсында орналастыруды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бұйрықтың 2-тармағының орындалуын бақылау Қазақстан Республикасы Ұлттық қауіпсіздік комитеті Төрағасының орынбасары – Шекара қызметінің директоры генерал-майор Алдажұманов Ерлан Ерғалиұлына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бұйрық қол қойылған күнінен бастап күшіне енеді.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Ұлттық қауіпсіздік комитетінің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Төрағасы ұлттық қауіпсіздік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генерал-лейтенанты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Сағымбаев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КЕЛIСIЛДI: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министрі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 Е. Жамаубаев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 жылғ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"___" 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42/қе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қауіпсіздік комитетінің Шекара қызметі мен Шекара академиясында қызметтік жануарларды дайындау және күтіп ұстау үшін мүлікпен жабдықтау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нормасының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Итке арналған ағаш күрке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итке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иттерге арналған жиналмалы вольерлер (қызметтік иттер штатына)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итке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жануарлардың мамандар тобын дайындауға арналған оқу-жаттығу плакаттары (10 плакат)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Вольерді (тұрақты) тазалауға арналған щетка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Вольерді жинауға арналған металл қалақ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итке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Вольерді (тұрақты) жинауға арналған қалақ күрек (үшкір)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Жалаушалар 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жерді, үй-жайларды, көлік құралдарын тінтуге арналған оқу-жаттығу 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Іздеу жұмыстарына арналған оқу-жаттығу жиынтығы (іздестіру иттері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 үлестірусіз сұрыптауға арналған оқу-жаттығу 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Итке арналған броньды кеудеше (шабуылдаушы иттер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топқа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