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eff7" w14:textId="90de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2021 жылғы 23 желтоқсандағы № 100 "2022-2024 жылдарға арналған ауылдар,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29 шілдедегі № 149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"2022-2024 жылдарға арналған ауылдар, кенттер және ауылдық округтердің бюджеті туралы" 2021 жылғы 23 желтоқсандағы № 100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162747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212 836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24 169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187 732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212 836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алу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 – 2024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32 491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28 240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32 491 мың теңге;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– 2024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32 838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29 510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33 138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 – 2024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36 450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3 666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32 784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36 450 мың теңге;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 – 2024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35 806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5 571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30 235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36 273 мың теңге;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-467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467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467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 – 2024 жылдарға арналған Кұланөтпес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18 955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1 610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17 345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19 019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 – 2024 жылдарға арналған Көбетей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28 950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3 237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25 713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29 619 мың теңге;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-669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669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669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 – 2024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32 738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6 398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24 430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33 388 мың теңге;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 – 2024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28 348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4 158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158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24 032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29 069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 – 2024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29 700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1 524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28 176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41 197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-11 497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11 497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11 497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2022 – 2024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24 515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3 230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21 285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24 775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2022 – 2024 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21 187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14 737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6 450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21 611 мың теңге; 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-424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424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424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 – 2024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29 382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2 397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26 985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30 882 мың теңге; 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1 500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1 500 мың теңге.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5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 кентінің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6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Мұзбел ауылының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Тассуат ауылының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6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 ауылының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7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Шахтерское ауылының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7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Құланөтпес ауылының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7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Көбетей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27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Байтуған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28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Заречное ауылының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28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Қарой ауылының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28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Құланөтпес ауылының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29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Ткенекті ауылының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29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Талдысай ауылының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