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4309" w14:textId="a774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Жансары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21 қыркүйектегі № 291 шешімі. Күші жойылды - Қарағанды облысы Осакаров аудандық мәслихатының 2023 жылғы 17 қарашадағы № 13/120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Жансары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Жансары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Жансары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Жансары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қаулысымен бекітілген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Қарағанды облысы Осакаров ауданы Жансары ауылдық округінің Аманқоңыр ауылы, Жансары ауылы, Жуантөбе ауылы, Басқорық ауылы, Қызылтас ауылы (бұдан әрі- Жансары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Жансары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Жансары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Жансары ауылдық округінің әкімі (бұдан әрі- Жансары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Жансары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Олардың тұратын жерлері шегінде жергілікті қоғамдастықтың бөлек жиынын өткізуді Жансары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Жансары ауылдық округінің аумағындағы көшеден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Жансары ауылдық округінде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Жансары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Жансары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Жансары ауылдық округінің көшесінің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Жансары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Жансары ауылдық округінің Аманқоңыр ауылы, Жансары ауылы, Жуантөбе ауылы, Басқорық ауылы, Қызылтас ауылы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округінің Аманқоңыр ауылы, Жансары ауылы, Жуантөбе ауылы, Басқорық ауылы, Қызылтас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Басқорық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