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229b" w14:textId="6a22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2021 жылғы 28 желтоқсандағы XII сессиясының "2022-2024 жылдарға арналған кенттер, ауылдық округтер бюджеттері туралы" № 100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2022 жылғы 30 мамырдағы № 133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"2022-2024 жылдарға арналған кенттер, ауылдық округтер бюджеттері туралы" 2021 жылғы 28 желтоқсандағы № 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162758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222 148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5 073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213 678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222 860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712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210 193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198 189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210 204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135 371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135 152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135 436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42 642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38 115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42 643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42 194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3 965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38 229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42 194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41 760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1 557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40 203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55 776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-14 016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14 016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14 016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50 849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50 455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50 852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48 196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47 472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48 242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37 469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1 364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36 105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37 469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38 015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34 674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38 017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57 389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5 331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52 058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62 056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-4 667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4 667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4 667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59 037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1 234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57 803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59 038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44 968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1 065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43 903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44 968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43 298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4 665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38 633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43 301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43 203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1 423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41 780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43 203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2022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2022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2022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2022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2022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2022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2022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2022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2022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2022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2022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2022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2022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3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кенттер, ауылдық округтер бюджеттеріне аудандық бюджеттен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